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21536d424b4.htm"/>
        <w:bookmarkStart w:id="1" w:name="ksd321536d424b4"/>
        <w:bookmarkEnd w:id="0"/>
        <w:bookmarkEnd w:id="1"/>
        <w:r>
          <w:rPr>
            <w:rStyle w:val="InternetLink"/>
            <w:b/>
            <w:sz w:val="20"/>
          </w:rPr>
          <w:t>Table of Contents</w:t>
        </w:r>
      </w:hyperlink>
    </w:p>
    <w:p>
      <w:pPr>
        <w:pStyle w:val="TextBody"/>
        <w:bidi w:val="0"/>
        <w:spacing w:before="0" w:after="0"/>
        <w:jc w:val="left"/>
        <w:rPr>
          <w:rFonts w:ascii="Times New Roman" w:hAnsi="Times New Roman"/>
          <w:b/>
          <w:color w:val="FF4338"/>
          <w:sz w:val="20"/>
        </w:rPr>
      </w:pPr>
      <w:r>
        <w:rPr>
          <w:rFonts w:ascii="Times New Roman" w:hAnsi="Times New Roman"/>
          <w:b/>
          <w:color w:val="FF4338"/>
          <w:sz w:val="20"/>
        </w:rPr>
        <w:t xml:space="preserve">The information in this preliminary prospectus supplement is not complete and may be changed. This preliminary prospectus supplement and the accompanying prospectus are not an offer to sell these securities nor do they solicit offers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right"/>
        <w:rPr>
          <w:rFonts w:ascii="Times New Roman" w:hAnsi="Times New Roman"/>
          <w:b/>
          <w:sz w:val="20"/>
        </w:rPr>
      </w:pPr>
      <w:r>
        <w:rPr>
          <w:rFonts w:ascii="Times New Roman" w:hAnsi="Times New Roman"/>
          <w:b/>
          <w:sz w:val="20"/>
        </w:rPr>
        <w:t xml:space="preserve">Filed Pursuant to Rule 424(b)(4) </w:t>
        <w:br/>
        <w:t xml:space="preserve">Registration No. 333-281982 </w:t>
      </w:r>
    </w:p>
    <w:p>
      <w:pPr>
        <w:pStyle w:val="TextBody"/>
        <w:bidi w:val="0"/>
        <w:spacing w:before="24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AUGUST 20,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SEPTEMBER 16, 2024)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15,000,000 Shares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714500"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92392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Aveanna Healthcare Holdings Inc.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The selling stockholders identified in this prospectus supplement (the “</w:t>
      </w:r>
      <w:r>
        <w:rPr>
          <w:rFonts w:ascii="Times New Roman" w:hAnsi="Times New Roman"/>
          <w:sz w:val="20"/>
          <w:u w:val="single"/>
        </w:rPr>
        <w:t>Selling Stockholders</w:t>
      </w:r>
      <w:r>
        <w:rPr>
          <w:rFonts w:ascii="Times New Roman" w:hAnsi="Times New Roman"/>
          <w:sz w:val="20"/>
        </w:rPr>
        <w:t>”) are offering 15,000,000 shares of our common stock, par value $0.01 per share (the “</w:t>
      </w:r>
      <w:r>
        <w:rPr>
          <w:rFonts w:ascii="Times New Roman" w:hAnsi="Times New Roman"/>
          <w:sz w:val="20"/>
          <w:u w:val="single"/>
        </w:rPr>
        <w:t>common stock</w:t>
      </w:r>
      <w:r>
        <w:rPr>
          <w:rFonts w:ascii="Times New Roman" w:hAnsi="Times New Roman"/>
          <w:sz w:val="20"/>
        </w:rPr>
        <w:t xml:space="preserve">”). We will not receive any of the proceeds from the sale of shares of common stock by the Selling Stockholders. See “Selling Stockholders.”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Select Market under the symbol “AVAH.” The last reported sale price of our common stock on the Nasdaq Global Select Market on August 19, 2026, was $13.16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After the consummation of this offering, we will no longer be a controlled company within the meaning of the corporate governance standards of Nasdaq. Despite this, Bain Capital and J.H. Whitney Capital Partners (“Whitney” and together with Bain Capital, our “</w:t>
      </w:r>
      <w:r>
        <w:rPr>
          <w:rFonts w:ascii="Times New Roman" w:hAnsi="Times New Roman"/>
          <w:sz w:val="20"/>
          <w:u w:val="single"/>
        </w:rPr>
        <w:t>Sponsors</w:t>
      </w:r>
      <w:r>
        <w:rPr>
          <w:rFonts w:ascii="Times New Roman" w:hAnsi="Times New Roman"/>
          <w:sz w:val="20"/>
        </w:rPr>
        <w:t xml:space="preserve">”) will continue to be able to strongly influence us. See “Risk Factors—Risks Related to this Offering and Ownership of our Common Stock—The Sponsor Affiliates, which include certain of the Selling Stockholders, own a significant amount of our voting power and their interests may not be aligned with yours” and “Risk Factors—Risks Related to this Offering and Ownership of our Common Stock—Following this offering, we will no longer be a controlled company within the meaning of Nasdaq rules. However, we may continue to rely on exemptions from certain corporate governance requirements during a one-year transition period.”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risks. See “</w:t>
      </w:r>
      <w:hyperlink w:anchor="supptx321536_3">
        <w:r>
          <w:rPr>
            <w:rStyle w:val="InternetLink"/>
            <w:rFonts w:ascii="Times New Roman" w:hAnsi="Times New Roman"/>
            <w:b/>
            <w:sz w:val="24"/>
          </w:rPr>
          <w:t>Risk Factors</w:t>
        </w:r>
      </w:hyperlink>
      <w:r>
        <w:rPr>
          <w:rFonts w:ascii="Times New Roman" w:hAnsi="Times New Roman"/>
          <w:b/>
          <w:sz w:val="24"/>
        </w:rPr>
        <w:t xml:space="preserve">” beginning on page S-5 of this prospectus supplement and page 2 of the accompanying prospectus, as well as the documents we file with the Securities and Exchange Commission that are incorporated by reference herein for more information.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underwriter has agreed to purchase the common stock in this offering at a price of $  per share. The underwriter may offer the shares of common stock for sale from time to time in one or more transactions, directly or indirectly through agents, on the Nasdaq, in the over-the-counter market, through negotiated transactions or otherwise at market prices prevailing at the time of sale, at prices related to prevailing market prices, at a fixed price or prices, which may be changed, or at negotiated prices. See “Underwriting.”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Certain of the Selling Stockholders affiliated with Whitney (collectively, the “Whitney Selling Stockholders”) have granted the underwriter an option for a period of 30 days after the date of this prospectus supplement to purchase up to an additional 2,250,000 shares of our common stock at the public offering price, less underwriting discounts and commissions.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Delivery of the shares of common stock offered by this prospectus supplement and the accompanying prospectus is expected to be made on or about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4"/>
        </w:rPr>
      </w:pPr>
      <w:r>
        <w:rPr>
          <w:rFonts w:ascii="Times New Roman" w:hAnsi="Times New Roman"/>
          <w:b/>
          <w:sz w:val="24"/>
        </w:rPr>
        <w:t xml:space="preserve">RBC Capital Markets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Prospectus Supplement dated      , 2026 </w:t>
      </w:r>
    </w:p>
    <w:p>
      <w:pPr>
        <w:pStyle w:val="TextBody"/>
        <w:bidi w:val="0"/>
        <w:spacing w:before="0" w:after="0"/>
        <w:ind w:left="960" w:right="960" w:hanging="0"/>
        <w:jc w:val="left"/>
        <w:rPr/>
      </w:pPr>
      <w:r>
        <w:rPr/>
        <w:t>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1">
              <w:r>
                <w:rPr>
                  <w:rStyle w:val="InternetLink"/>
                  <w:rFonts w:ascii="Times New Roman" w:hAnsi="Times New Roman"/>
                  <w:sz w:val="20"/>
                </w:rPr>
                <w:t>ABOUT THIS PROSPECTUS SUPPLEMENT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2">
              <w:r>
                <w:rPr>
                  <w:rStyle w:val="InternetLink"/>
                  <w:rFonts w:ascii="Times New Roman" w:hAnsi="Times New Roman"/>
                  <w:sz w:val="20"/>
                </w:rPr>
                <w:t>PROSPECTUS SUPPLEMENT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3">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4">
              <w:r>
                <w:rPr>
                  <w:rStyle w:val="InternetLink"/>
                  <w:rFonts w:ascii="Times New Roman" w:hAnsi="Times New Roman"/>
                  <w:sz w:val="20"/>
                </w:rPr>
                <w:t>CAUTIONARY STATEMENT ABOUT FORWARD-LOOKING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6">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7">
              <w:r>
                <w:rPr>
                  <w:rStyle w:val="InternetLink"/>
                  <w:rFonts w:ascii="Times New Roman" w:hAnsi="Times New Roman"/>
                  <w:sz w:val="20"/>
                </w:rPr>
                <w:t>MATERIAL U.S. FEDERAL INCOME TAX CONSIDERATIONS FOR NON-U.S. HOLDERS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8">
              <w:r>
                <w:rPr>
                  <w:rStyle w:val="InternetLink"/>
                  <w:rFonts w:ascii="Times New Roman" w:hAnsi="Times New Roman"/>
                  <w:sz w:val="20"/>
                </w:rPr>
                <w:t>UNDERWRITING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9">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10">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11">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12">
              <w:r>
                <w:rPr>
                  <w:rStyle w:val="InternetLink"/>
                  <w:rFonts w:ascii="Times New Roman" w:hAnsi="Times New Roman"/>
                  <w:sz w:val="20"/>
                </w:rPr>
                <w:t>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3">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6">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7">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8">
              <w:r>
                <w:rPr>
                  <w:rStyle w:val="InternetLink"/>
                  <w:rFonts w:ascii="Times New Roman" w:hAnsi="Times New Roman"/>
                  <w:sz w:val="20"/>
                </w:rPr>
                <w:t>DESCRIPTION OF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9">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0">
              <w:r>
                <w:rPr>
                  <w:rStyle w:val="InternetLink"/>
                  <w:rFonts w:ascii="Times New Roman" w:hAnsi="Times New Roman"/>
                  <w:sz w:val="20"/>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1">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2">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3">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4">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5">
              <w:r>
                <w:rPr>
                  <w:rStyle w:val="InternetLink"/>
                  <w:rFonts w:ascii="Times New Roman" w:hAnsi="Times New Roman"/>
                  <w:sz w:val="20"/>
                </w:rPr>
                <w:t>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6">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321536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Unless the context otherwise requires, all references in this prospectus supplement to “</w:t>
      </w:r>
      <w:r>
        <w:rPr>
          <w:rFonts w:ascii="Times New Roman" w:hAnsi="Times New Roman"/>
          <w:sz w:val="20"/>
          <w:u w:val="single"/>
        </w:rPr>
        <w:t>Aveanna</w:t>
      </w:r>
      <w:r>
        <w:rPr>
          <w:rFonts w:ascii="Times New Roman" w:hAnsi="Times New Roman"/>
          <w:sz w:val="20"/>
        </w:rPr>
        <w:t>,” “</w:t>
      </w:r>
      <w:r>
        <w:rPr>
          <w:rFonts w:ascii="Times New Roman" w:hAnsi="Times New Roman"/>
          <w:sz w:val="20"/>
          <w:u w:val="single"/>
        </w:rPr>
        <w:t>Company</w:t>
      </w:r>
      <w:r>
        <w:rPr>
          <w:rFonts w:ascii="Times New Roman" w:hAnsi="Times New Roman"/>
          <w:sz w:val="20"/>
        </w:rPr>
        <w:t>,” “</w:t>
      </w:r>
      <w:r>
        <w:rPr>
          <w:rFonts w:ascii="Times New Roman" w:hAnsi="Times New Roman"/>
          <w:sz w:val="20"/>
          <w:u w:val="single"/>
        </w:rPr>
        <w:t>our company</w:t>
      </w:r>
      <w:r>
        <w:rPr>
          <w:rFonts w:ascii="Times New Roman" w:hAnsi="Times New Roman"/>
          <w:sz w:val="20"/>
        </w:rPr>
        <w:t>,” “</w:t>
      </w:r>
      <w:r>
        <w:rPr>
          <w:rFonts w:ascii="Times New Roman" w:hAnsi="Times New Roman"/>
          <w:sz w:val="20"/>
          <w:u w:val="single"/>
        </w:rPr>
        <w:t>we</w:t>
      </w:r>
      <w:r>
        <w:rPr>
          <w:rFonts w:ascii="Times New Roman" w:hAnsi="Times New Roman"/>
          <w:sz w:val="20"/>
        </w:rPr>
        <w:t>,” “</w:t>
      </w:r>
      <w:r>
        <w:rPr>
          <w:rFonts w:ascii="Times New Roman" w:hAnsi="Times New Roman"/>
          <w:sz w:val="20"/>
          <w:u w:val="single"/>
        </w:rPr>
        <w:t>us</w:t>
      </w:r>
      <w:r>
        <w:rPr>
          <w:rFonts w:ascii="Times New Roman" w:hAnsi="Times New Roman"/>
          <w:sz w:val="20"/>
        </w:rPr>
        <w:t>,” or “</w:t>
      </w:r>
      <w:r>
        <w:rPr>
          <w:rFonts w:ascii="Times New Roman" w:hAnsi="Times New Roman"/>
          <w:sz w:val="20"/>
          <w:u w:val="single"/>
        </w:rPr>
        <w:t>our</w:t>
      </w:r>
      <w:r>
        <w:rPr>
          <w:rFonts w:ascii="Times New Roman" w:hAnsi="Times New Roman"/>
          <w:sz w:val="20"/>
        </w:rPr>
        <w:t xml:space="preserve">” refer to Aveanna Healthcare Holdings Inc., a Delaware corporation, including its wholly owned subsidiaries. </w:t>
      </w:r>
    </w:p>
    <w:p>
      <w:pPr>
        <w:pStyle w:val="TextBody"/>
        <w:bidi w:val="0"/>
        <w:spacing w:before="240" w:after="0"/>
        <w:jc w:val="left"/>
        <w:rPr>
          <w:rFonts w:ascii="Times New Roman" w:hAnsi="Times New Roman"/>
          <w:sz w:val="20"/>
        </w:rPr>
      </w:pPr>
      <w:r>
        <w:rPr>
          <w:rFonts w:ascii="Times New Roman" w:hAnsi="Times New Roman"/>
          <w:sz w:val="20"/>
        </w:rPr>
        <w:t>This prospectus supplement and the accompanying prospectus form part of a registration statement on Form S-3 that we filed with the U.S. Securities and Exchange Commission (the “</w:t>
      </w:r>
      <w:r>
        <w:rPr>
          <w:rFonts w:ascii="Times New Roman" w:hAnsi="Times New Roman"/>
          <w:sz w:val="20"/>
          <w:u w:val="single"/>
        </w:rPr>
        <w:t>SEC</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xml:space="preserve">”), using a “shelf” registration process. This document contains two parts. The first part consists of this prospectus supplement, which provides you with specific information about this offering. The second part consists of the accompanying prospectus, which provides more general information, some of which may not apply to this offering. Generally, when we refer only to the “prospectus,” we are referring to both parts combined. This prospectus supplement and the documents incorporated by reference herein may add, update or change information contained in the accompanying prospectus. If the information set forth in this prospectus supplement or in the documents incorporated by reference herein differs from the information set forth in the accompanying prospectus or the information contained in any document incorporated by reference herein or therein, the information contained in the most recently dated document shall control. The information contained in this prospectus supplement and the accompanying prospectus is current only as of the respective dates of such documents.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relate to the offering of our securities. Before buying any of our securities offered hereby, we urge you to carefully read this prospectus supplement, the accompanying prospectus, any free writing prospectus that we have authorized for use in connection with this offering and the additional information incorporated herein and therein by reference, as described under the headings “Where You Can Find More Information” and “Incorporation of Certain Documents by Reference”,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None of us, the Selling Stockholders nor the underwriter have authorized anyone to provide any information or to make any representations other than those contained or incorporated by reference in this prospectus supplement, the accompanying prospectus or in any free writing prospectus we have prepared or that has been prepared on our behalf or to which we have referred you. We, the Selling Stockholders and the underwriter take no responsibility for, and can provide no assurance as to the reliability of, any other information that others may give you. The Selling Stockholders and the underwriter are offering to sell, and seeking offers to buy, shares of common stock only in jurisdictions where offers and sales are permitted.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we, the Selling Stockholders and the underwriter have not done anything that would permit this offering or possession or distribution of this prospectus supplement or the accompanying prospectus in any jurisdiction where action for that purpose is required, other than in the United States. Persons outside of the United States who come into possession of this prospectus supplement and the accompanying prospectus must inform themselves about, and observe any restrictions relating to, the offering of the shares of common stock described in this prospectus supplement and the accompanying prospectus and the distribution of this prospectus supplement and the accompanying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x321536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of our business highlights some of the information contained elsewhere in, or incorporated by reference into, this prospectus supplement or the accompanying prospectus. Because this is only a summary, however, it does not contain all of the information that may be important to you. You should carefully read this prospectus supplement and the accompanying prospectus, including the documents incorporated by reference herein and therein, which are identified under “Incorporation of Certain Documents by Reference” in this prospectus supplement and in the accompanying prospectus. You should also carefully consider the matters discussed in the section in this prospectus supplement entitled “Risk Factors” and in the accompanying prospectus, in our Annual Report on Form 10-K for the fiscal year ended January 3, 2026 and in the other documents incorporated herein by reference.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diversified home care platform focused on providing care to medically complex, high-cost patient populations. We directly address the most pressing challenges facing the U.S. healthcare system by providing safe, high-quality care in the home, the lower cost care setting preferred by patients. Our patient-centered care delivery platform is designed to improve the quality of care our patients receive, which allows them to remain in their homes and minimizes the overutilization of high-cost care settings such as hospitals. Our clinical model is led by our caregivers, primarily skilled nurses, who provide specialized care to address the complex needs of each patient we serve across the full range of patient populations: newborns, children, adults and seniors. We have invested significantly in our platform to bring together best-in-class talent at all levels of the organization and support such talent with industry leading training, clinical programs, infrastructure and technology-enabled systems, which are increasingly essential in an evolving healthcare industry. We believe our platform creates sustainable competitive advantages that support our ability to continue driving rapid growth, both organically and through acquisitions, and positions us as the partner of choice for the patients we 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Segments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deliver our services to patients through three segments: Private Duty Services (“</w:t>
      </w:r>
      <w:r>
        <w:rPr>
          <w:rFonts w:ascii="Times New Roman" w:hAnsi="Times New Roman"/>
          <w:sz w:val="20"/>
          <w:u w:val="single"/>
          <w:bdr w:val="single" w:sz="8" w:space="1" w:color="000000"/>
        </w:rPr>
        <w:t>PDS</w:t>
      </w:r>
      <w:r>
        <w:rPr>
          <w:rFonts w:ascii="Times New Roman" w:hAnsi="Times New Roman"/>
          <w:sz w:val="20"/>
          <w:bdr w:val="single" w:sz="8" w:space="1" w:color="000000"/>
        </w:rPr>
        <w:t>”); Home Health &amp; Hospice (“</w:t>
      </w:r>
      <w:r>
        <w:rPr>
          <w:rFonts w:ascii="Times New Roman" w:hAnsi="Times New Roman"/>
          <w:sz w:val="20"/>
          <w:u w:val="single"/>
          <w:bdr w:val="single" w:sz="8" w:space="1" w:color="000000"/>
        </w:rPr>
        <w:t>HHH</w:t>
      </w:r>
      <w:r>
        <w:rPr>
          <w:rFonts w:ascii="Times New Roman" w:hAnsi="Times New Roman"/>
          <w:sz w:val="20"/>
          <w:bdr w:val="single" w:sz="8" w:space="1" w:color="000000"/>
        </w:rPr>
        <w:t>”); and Medical Solutions (“</w:t>
      </w:r>
      <w:r>
        <w:rPr>
          <w:rFonts w:ascii="Times New Roman" w:hAnsi="Times New Roman"/>
          <w:sz w:val="20"/>
          <w:u w:val="single"/>
          <w:bdr w:val="single" w:sz="8" w:space="1" w:color="000000"/>
        </w:rPr>
        <w:t>MS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PDS Segment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Private Duty Services predominantly includes private duty nursing services (“</w:t>
      </w:r>
      <w:r>
        <w:rPr>
          <w:rFonts w:ascii="Times New Roman" w:hAnsi="Times New Roman"/>
          <w:sz w:val="20"/>
          <w:u w:val="single"/>
          <w:bdr w:val="single" w:sz="8" w:space="1" w:color="000000"/>
        </w:rPr>
        <w:t>PDN Services</w:t>
      </w:r>
      <w:r>
        <w:rPr>
          <w:rFonts w:ascii="Times New Roman" w:hAnsi="Times New Roman"/>
          <w:sz w:val="20"/>
          <w:bdr w:val="single" w:sz="8" w:space="1" w:color="000000"/>
        </w:rPr>
        <w:t>”), as well as pediatric therapy services (“</w:t>
      </w:r>
      <w:r>
        <w:rPr>
          <w:rFonts w:ascii="Times New Roman" w:hAnsi="Times New Roman"/>
          <w:sz w:val="20"/>
          <w:u w:val="single"/>
          <w:bdr w:val="single" w:sz="8" w:space="1" w:color="000000"/>
        </w:rPr>
        <w:t>Therapy Services</w:t>
      </w:r>
      <w:r>
        <w:rPr>
          <w:rFonts w:ascii="Times New Roman" w:hAnsi="Times New Roman"/>
          <w:sz w:val="20"/>
          <w:bdr w:val="single" w:sz="8" w:space="1" w:color="000000"/>
        </w:rPr>
        <w:t xml:space="preserve">”). PDN Services patients typically enter our service as children, as our most significant referral sources for new patients are children’s hospitals. It is common for PDN Services patients to continue to receive our services into adulthood, as approximately 30% of our PDN Services patients are over the age of 18.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PDN Services involve the provision of clinical and non-clinical hourly care to patients in their homes, which is the preferred setting for patient care. PDN Services typically last four to 24 hours a day, provided by our registered nurses, licensed practical nurses, home health aides, and other non-clinical caregivers who are focused on providing high-quality short-term and long-term clinical care to medically complex children and adults with a wide variety of serious illnesses and conditions. Patients who typically qualify for PDN Services include those with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9"/>
        <w:gridCol w:w="303"/>
        <w:gridCol w:w="203"/>
        <w:gridCol w:w="8270"/>
      </w:tblGrid>
      <w:tr>
        <w:trPr/>
        <w:tc>
          <w:tcPr>
            <w:tcW w:w="1429"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Tracheotomies or ventilator dependence;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5"/>
        <w:gridCol w:w="203"/>
        <w:gridCol w:w="8269"/>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Dependence on continuous nutritional feeding through a “G-tube” or “NG-tube”;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5"/>
        <w:gridCol w:w="203"/>
        <w:gridCol w:w="8269"/>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Dependence on intravenous nutrition;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Oxygen-dependence in conjunction with other medical needs;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9"/>
        <w:gridCol w:w="305"/>
        <w:gridCol w:w="201"/>
        <w:gridCol w:w="8270"/>
      </w:tblGrid>
      <w:tr>
        <w:trPr/>
        <w:tc>
          <w:tcPr>
            <w:tcW w:w="142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Complex medical needs such as frequent seizures.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PDN Services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6"/>
        <w:gridCol w:w="201"/>
        <w:gridCol w:w="8271"/>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In-home skilled nursing services to medically complex children and adults;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9"/>
        <w:gridCol w:w="305"/>
        <w:gridCol w:w="202"/>
        <w:gridCol w:w="8269"/>
      </w:tblGrid>
      <w:tr>
        <w:trPr/>
        <w:tc>
          <w:tcPr>
            <w:tcW w:w="142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Nursing services in school settings in which our caregivers accompany patients to school;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428"/>
        <w:gridCol w:w="306"/>
        <w:gridCol w:w="202"/>
        <w:gridCol w:w="8269"/>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Services to patients in our Pediatric Day Healthcare Centers;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Non-clinical care, including programs such as support services and personal care services.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Therapy Services provide a valuable multidisciplinary approach that we believe serves all of a child’s therapy needs. We provide both in-clinic and home-based therapy services to our patients. Therapy Services include physical, occupational and speech services. We regularly collaborate with physicians and other community healthcare providers, which allows us to provide more comprehensive care.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HHH Segment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Our Home Health and Hospice segment predominantly includes home health services (“</w:t>
      </w:r>
      <w:r>
        <w:rPr>
          <w:rFonts w:ascii="Times New Roman" w:hAnsi="Times New Roman"/>
          <w:sz w:val="20"/>
          <w:u w:val="single"/>
          <w:bdr w:val="single" w:sz="8" w:space="1" w:color="000000"/>
        </w:rPr>
        <w:t>HH Services</w:t>
      </w:r>
      <w:r>
        <w:rPr>
          <w:rFonts w:ascii="Times New Roman" w:hAnsi="Times New Roman"/>
          <w:sz w:val="20"/>
          <w:bdr w:val="single" w:sz="8" w:space="1" w:color="000000"/>
        </w:rPr>
        <w:t xml:space="preserve">”), as well as hospice and specialty program services. Our HHH patients typically enter our service as seniors, and our most significant referral sources for new patients are hospitals, physicians and long-term care facilities.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HH Services involve the provision of in-home services to our patients by our clinicians, which may include nurses, therapists, social workers and home health aides. Our caregivers work with our patients’ physicians to deliver a personalized plan of care to our patients in their homes. Home healthcare can help our patients recover after a hospitalization or surgery and assist patients in managing chronic illnesses. We also help our patients manage their medications. Through our care, we help our patients recover more fully in the comfort of their own homes, while remaining as independent as possible. HH Services include: in-home skilled nursing services; physical, occupational and speech therapy; medical social services and aide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hospice services involve a supportive philosophy and concept of care for those nearing the end of life. Our hospice care is a positive, empowering form of care designed to provide comfort and support to our patients and their families when a life-limiting illness no longer responds to cure-oriented treatments. The goal of hospice is to neither prolong life nor hasten death, but to help our patients live as dignified and pain-free as possible. Our hospice care is provided by a team of specially trained professionals in a variety of living situations, including at home, at the hospital, a nursing home, or an assisted living facility.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MS Segment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Through our Medical Solutions segment, we offer a comprehensive line of enteral nutrition supplies and other products to adults and children, delivered on a periodic or as-needed basis. We provide our patients with access to one of the largest selections of enteral formulas, supplies and pumps in our industry, with more than 300 nutritional formulas available. Our registered nurses, registered dietitians and customer service technicians support our patients 24 hours per day, 365 days per year, in-hospital, at-home, or remotely to help ensure that our patients have the best nutrition assessments, change order reviews and formula selection expertise.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Acquisition-related Activities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1, 2026, we completed the acquisition of Family First Holding, LLC, a scaled, multi-state provider of pediatric home care that primarily provides skilled Private Duty Nursing services with 27 locations in seven states including Florida, Illinois, Iowa, Pennsylvania, South Dakota, Texas, and North Carolina.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400 Interstate North Parkway SE, Atlanta, Georgia 30339 and our phone number is (770) 441-1580. Our website address on the Internet is www.aveanna.com. The information contained on, or accessible through, our website is not incorporated into this prospectus supplement or the accompanying prospectus and does not form a part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886"/>
        <w:gridCol w:w="123"/>
        <w:gridCol w:w="7196"/>
      </w:tblGrid>
      <w:tr>
        <w:trPr/>
        <w:tc>
          <w:tcPr>
            <w:tcW w:w="28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96" w:type="dxa"/>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Common Stock Offered by the Selling Stockholders</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15,000,000 shares.</w:t>
            </w:r>
          </w:p>
        </w:tc>
      </w:tr>
      <w:tr>
        <w:trPr>
          <w:trHeight w:val="120" w:hRule="atLeast"/>
        </w:trPr>
        <w:tc>
          <w:tcPr>
            <w:tcW w:w="2886" w:type="dxa"/>
            <w:tcBorders/>
            <w:vAlign w:val="center"/>
          </w:tcPr>
          <w:p>
            <w:pPr>
              <w:pStyle w:val="TableContents"/>
              <w:bidi w:val="0"/>
              <w:spacing w:before="0" w:after="283"/>
              <w:jc w:val="left"/>
              <w:rPr>
                <w:sz w:val="4"/>
                <w:szCs w:val="4"/>
              </w:rPr>
            </w:pPr>
            <w:r>
              <w:rPr>
                <w:sz w:val="4"/>
                <w:szCs w:val="4"/>
              </w:rPr>
            </w:r>
          </w:p>
        </w:tc>
        <w:tc>
          <w:tcPr>
            <w:tcW w:w="7319" w:type="dxa"/>
            <w:gridSpan w:val="2"/>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Common Stock Outstanding</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218,152,927 shares.</w:t>
            </w:r>
          </w:p>
        </w:tc>
      </w:tr>
      <w:tr>
        <w:trPr>
          <w:trHeight w:val="120" w:hRule="atLeast"/>
        </w:trPr>
        <w:tc>
          <w:tcPr>
            <w:tcW w:w="2886" w:type="dxa"/>
            <w:tcBorders/>
            <w:vAlign w:val="center"/>
          </w:tcPr>
          <w:p>
            <w:pPr>
              <w:pStyle w:val="TableContents"/>
              <w:bidi w:val="0"/>
              <w:spacing w:before="0" w:after="283"/>
              <w:jc w:val="left"/>
              <w:rPr>
                <w:sz w:val="4"/>
                <w:szCs w:val="4"/>
              </w:rPr>
            </w:pPr>
            <w:r>
              <w:rPr>
                <w:sz w:val="4"/>
                <w:szCs w:val="4"/>
              </w:rPr>
            </w:r>
          </w:p>
        </w:tc>
        <w:tc>
          <w:tcPr>
            <w:tcW w:w="7319" w:type="dxa"/>
            <w:gridSpan w:val="2"/>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Option to Purchase Additional Shares</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Certain of the Whitney Selling Stockholders have granted the underwriter an option to purchase up to 2,250,000 additional shares of our common stock at the public offering price less underwriting discounts and commissions. This option is exercisable, in whole or in part, for a period of 30 days immediately following the date of this prospectus supplement.</w:t>
            </w:r>
          </w:p>
        </w:tc>
      </w:tr>
      <w:tr>
        <w:trPr>
          <w:trHeight w:val="120" w:hRule="atLeast"/>
        </w:trPr>
        <w:tc>
          <w:tcPr>
            <w:tcW w:w="2886" w:type="dxa"/>
            <w:tcBorders/>
            <w:vAlign w:val="center"/>
          </w:tcPr>
          <w:p>
            <w:pPr>
              <w:pStyle w:val="TableContents"/>
              <w:bidi w:val="0"/>
              <w:spacing w:before="0" w:after="283"/>
              <w:jc w:val="left"/>
              <w:rPr>
                <w:sz w:val="4"/>
                <w:szCs w:val="4"/>
              </w:rPr>
            </w:pPr>
            <w:r>
              <w:rPr>
                <w:sz w:val="4"/>
                <w:szCs w:val="4"/>
              </w:rPr>
            </w:r>
          </w:p>
        </w:tc>
        <w:tc>
          <w:tcPr>
            <w:tcW w:w="7319" w:type="dxa"/>
            <w:gridSpan w:val="2"/>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Use of Proceeds</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We will not receive any proceeds from the sale of shares of common stock offered by the Selling Stockholders; however, we will bear the costs associated with the sale of shares by the Selling Stockholders, other than underwriting discounts and commissions. See “Use of Proceeds.”</w:t>
            </w:r>
          </w:p>
        </w:tc>
      </w:tr>
      <w:tr>
        <w:trPr>
          <w:trHeight w:val="120" w:hRule="atLeast"/>
        </w:trPr>
        <w:tc>
          <w:tcPr>
            <w:tcW w:w="2886" w:type="dxa"/>
            <w:tcBorders/>
            <w:vAlign w:val="center"/>
          </w:tcPr>
          <w:p>
            <w:pPr>
              <w:pStyle w:val="TableContents"/>
              <w:bidi w:val="0"/>
              <w:spacing w:before="0" w:after="283"/>
              <w:jc w:val="left"/>
              <w:rPr>
                <w:sz w:val="4"/>
                <w:szCs w:val="4"/>
              </w:rPr>
            </w:pPr>
            <w:r>
              <w:rPr>
                <w:sz w:val="4"/>
                <w:szCs w:val="4"/>
              </w:rPr>
            </w:r>
          </w:p>
        </w:tc>
        <w:tc>
          <w:tcPr>
            <w:tcW w:w="7319" w:type="dxa"/>
            <w:gridSpan w:val="2"/>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Risk Factors</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Investing in our common stock involves risks. You should read carefully the “Risk Factors” section of this prospectus supplement, the accompanying prospectus and in the documents incorporated by reference herein and therein for a discussion of factors that you should carefully consider before deciding to invest in our common stock.</w:t>
            </w:r>
          </w:p>
        </w:tc>
      </w:tr>
      <w:tr>
        <w:trPr>
          <w:trHeight w:val="120" w:hRule="atLeast"/>
        </w:trPr>
        <w:tc>
          <w:tcPr>
            <w:tcW w:w="2886" w:type="dxa"/>
            <w:tcBorders/>
            <w:vAlign w:val="center"/>
          </w:tcPr>
          <w:p>
            <w:pPr>
              <w:pStyle w:val="TableContents"/>
              <w:bidi w:val="0"/>
              <w:spacing w:before="0" w:after="283"/>
              <w:jc w:val="left"/>
              <w:rPr>
                <w:sz w:val="4"/>
                <w:szCs w:val="4"/>
              </w:rPr>
            </w:pPr>
            <w:r>
              <w:rPr>
                <w:sz w:val="4"/>
                <w:szCs w:val="4"/>
              </w:rPr>
            </w:r>
          </w:p>
        </w:tc>
        <w:tc>
          <w:tcPr>
            <w:tcW w:w="7319" w:type="dxa"/>
            <w:gridSpan w:val="2"/>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Nasdaq Global Select Market Symbol</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w:t>
            </w:r>
            <w:r>
              <w:rPr/>
              <w:t>AVAH”</w:t>
            </w:r>
          </w:p>
        </w:tc>
      </w:tr>
      <w:tr>
        <w:trPr>
          <w:trHeight w:val="120" w:hRule="atLeast"/>
        </w:trPr>
        <w:tc>
          <w:tcPr>
            <w:tcW w:w="2886" w:type="dxa"/>
            <w:tcBorders/>
            <w:vAlign w:val="center"/>
          </w:tcPr>
          <w:p>
            <w:pPr>
              <w:pStyle w:val="TableContents"/>
              <w:bidi w:val="0"/>
              <w:spacing w:before="0" w:after="283"/>
              <w:jc w:val="left"/>
              <w:rPr>
                <w:sz w:val="4"/>
                <w:szCs w:val="4"/>
              </w:rPr>
            </w:pPr>
            <w:r>
              <w:rPr>
                <w:sz w:val="4"/>
                <w:szCs w:val="4"/>
              </w:rPr>
            </w:r>
          </w:p>
        </w:tc>
        <w:tc>
          <w:tcPr>
            <w:tcW w:w="7319" w:type="dxa"/>
            <w:gridSpan w:val="2"/>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Controlled Company</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Prior to this offering, affiliates (the “Sponsor Affiliates”) of the Sponsors controlled a majority of the voting power of our outstanding common stock. As a result, we were a controlled company within the meaning of the corporate governance rules of Nasdaq. However, after the consummation of this offering, we will no longer be a controlled company. See “Risk Factors—Risks Related to this Offering and Ownership of our Common Stock—The Sponsor Affiliates, which include certain of the Selling Stockholders, own a significant amount of our voting power and their interests may not be aligned with yours” and “Risk Factors—Risks Related to this Offering and Ownership of our Common Stock—Following this offering, we will no longer be a controlled company within the meaning of Nasdaq rules.” Even though we will no longer be a controlled company, we will continue to qualify for, and may rely on, exemptions from certain corporate governance requirements that would otherwise provide protection to stockholders of other companies during a one-year transition period. In addition, the Sponsor Affiliates will continue to be able to strongly influence us.</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our shares of common stock outstanding after this offering is based on 218,152,927 shares of common stock outstanding as of July 4, 2026, which excludes (in each case as of July 4, 2026):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5"/>
        <w:gridCol w:w="203"/>
        <w:gridCol w:w="8270"/>
      </w:tblGrid>
      <w:tr>
        <w:trPr/>
        <w:tc>
          <w:tcPr>
            <w:tcW w:w="142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12,871,563 shares of common stock issuable upon the exercise of options to purchase shares of our common stock outstanding under our Amended and Restated 2017 Stock Incentive Plan (the “</w:t>
            </w:r>
            <w:r>
              <w:rPr>
                <w:rFonts w:ascii="Times New Roman" w:hAnsi="Times New Roman"/>
                <w:sz w:val="20"/>
                <w:u w:val="single"/>
              </w:rPr>
              <w:t>2017 Plan</w:t>
            </w:r>
            <w:r>
              <w:rPr>
                <w:rFonts w:ascii="Times New Roman" w:hAnsi="Times New Roman"/>
                <w:sz w:val="20"/>
              </w:rPr>
              <w:t xml:space="preserve">”) with a weighted average exercise price of $6.42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5"/>
        <w:gridCol w:w="203"/>
        <w:gridCol w:w="8270"/>
      </w:tblGrid>
      <w:tr>
        <w:trPr/>
        <w:tc>
          <w:tcPr>
            <w:tcW w:w="142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71,750 shares of common stock issuable upon the vesting of deferred restricted stock units outstanding under the 2017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5"/>
        <w:gridCol w:w="203"/>
        <w:gridCol w:w="8270"/>
      </w:tblGrid>
      <w:tr>
        <w:trPr/>
        <w:tc>
          <w:tcPr>
            <w:tcW w:w="142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5,551,639 shares of common stock issuable upon the vesting of restricted stock units outstanding under our 2021 Stock Incentive Plan (the “</w:t>
            </w:r>
            <w:r>
              <w:rPr>
                <w:rFonts w:ascii="Times New Roman" w:hAnsi="Times New Roman"/>
                <w:sz w:val="20"/>
                <w:u w:val="single"/>
              </w:rPr>
              <w:t>2021 Plan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428"/>
        <w:gridCol w:w="305"/>
        <w:gridCol w:w="203"/>
        <w:gridCol w:w="8269"/>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5,256,244 shares of common stock issuable upon the vesting of performance stock units outstanding under the 2021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7"/>
        <w:gridCol w:w="202"/>
        <w:gridCol w:w="8269"/>
      </w:tblGrid>
      <w:tr>
        <w:trPr/>
        <w:tc>
          <w:tcPr>
            <w:tcW w:w="1427"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14,164,660 shares of common stock available for future issuance under our 2021 Plan, excluding shares that will become issuable pursuant to provisions in the 2021 Plan that automatically increase the share reserve under the 2021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7"/>
        <w:gridCol w:w="202"/>
        <w:gridCol w:w="8269"/>
      </w:tblGrid>
      <w:tr>
        <w:trPr/>
        <w:tc>
          <w:tcPr>
            <w:tcW w:w="1427"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4,599,684 shares of common stock available for future issuance under our 2021 Employee Stock Purchase Plan (the “</w:t>
            </w:r>
            <w:r>
              <w:rPr>
                <w:rFonts w:ascii="Times New Roman" w:hAnsi="Times New Roman"/>
                <w:sz w:val="20"/>
                <w:u w:val="single"/>
              </w:rPr>
              <w:t>ESPP</w:t>
            </w:r>
            <w:r>
              <w:rPr>
                <w:rFonts w:ascii="Times New Roman" w:hAnsi="Times New Roman"/>
                <w:sz w:val="20"/>
              </w:rPr>
              <w:t xml:space="preserve">”), excluding shares that will become issuable pursuant to provisions in the ESPP that automatically increase the share reserve under the ESPP.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5"/>
        <w:gridCol w:w="203"/>
        <w:gridCol w:w="8269"/>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outstanding options or settlement of outstanding restricted stock units or performance stock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4"/>
        <w:gridCol w:w="202"/>
        <w:gridCol w:w="8272"/>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purchases under the ESPP;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9"/>
        <w:gridCol w:w="305"/>
        <w:gridCol w:w="202"/>
        <w:gridCol w:w="8269"/>
      </w:tblGrid>
      <w:tr>
        <w:trPr/>
        <w:tc>
          <w:tcPr>
            <w:tcW w:w="142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by the underwriter of its option to purchase additional shares of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321536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common stock involves a high degree of risk. Before deciding whether to invest in the common stock offered hereby, you should carefully consider the risks described below, as well as the other risks described in our Annual Report on Form 10-K for the fiscal year ended January 3, 2026, the other documents incorporated by reference in this prospectus supplement and the accompanying prospectus, and in any free writing prospectus that we have authorized for use in connection with this offering. If any of these risks actually occurs, our business, financial condition, results of operations or cash flow could be materially harmed. In that case, the trading price of our common stock could decline, and you may lose all or part of your investment. </w:t>
      </w:r>
    </w:p>
    <w:p>
      <w:pPr>
        <w:pStyle w:val="TextBody"/>
        <w:bidi w:val="0"/>
        <w:spacing w:before="480" w:after="0"/>
        <w:jc w:val="center"/>
        <w:rPr>
          <w:rFonts w:ascii="Times New Roman" w:hAnsi="Times New Roman"/>
          <w:b/>
          <w:sz w:val="20"/>
        </w:rPr>
      </w:pPr>
      <w:r>
        <w:rPr>
          <w:rFonts w:ascii="Times New Roman" w:hAnsi="Times New Roman"/>
          <w:b/>
          <w:sz w:val="20"/>
        </w:rPr>
        <w:t xml:space="preserve">Risks Related to this Offering and Ownership of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Future sales, or the perception of future sales, by us or our existing stockholders in the public market could cause the market price for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sale of our common stock in the public market, or the perception that such sales may occur, could harm the prevailing market price of our common stock.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All shares sold in this offering will be freely tradable without restriction or further registration under the Securities Act, except for any common stock purchased by our affiliates in this offering, as that term is defined under Rule 144 under the Securities Act (“</w:t>
      </w:r>
      <w:r>
        <w:rPr>
          <w:rFonts w:ascii="Times New Roman" w:hAnsi="Times New Roman"/>
          <w:sz w:val="20"/>
          <w:u w:val="single"/>
        </w:rPr>
        <w:t>Rule 144</w:t>
      </w:r>
      <w:r>
        <w:rPr>
          <w:rFonts w:ascii="Times New Roman" w:hAnsi="Times New Roman"/>
          <w:sz w:val="20"/>
        </w:rPr>
        <w:t>”), including our directors, executive officers and Bain Capital L.P. (“</w:t>
      </w:r>
      <w:r>
        <w:rPr>
          <w:rFonts w:ascii="Times New Roman" w:hAnsi="Times New Roman"/>
          <w:sz w:val="20"/>
          <w:u w:val="single"/>
        </w:rPr>
        <w:t>Bain Capital</w:t>
      </w:r>
      <w:r>
        <w:rPr>
          <w:rFonts w:ascii="Times New Roman" w:hAnsi="Times New Roman"/>
          <w:sz w:val="20"/>
        </w:rPr>
        <w:t xml:space="preserve">”)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As of July 4, 2026, the Sponsor Affiliates collectively beneficially owned approximately 50.7% of our common stock. After giving effect to the offer and sale of the common stock by the Selling Stockholders, the Sponsor Affiliates will beneficially own 44.1% of our shares of common stock outstanding (or approximately 43.1% of our shares of common stock outstanding if the underwriter’s option to purchase additional shares from the Whitney Selling Stockholders is exercised in full) assuming 218,152,927 shares are issued and outstanding. Such shares of common stock beneficially owned by the Sponsor Affiliates are “restricted securities” under Rule 144 and subject to certain restrictions on resale, including under the A&amp;R Stockholders Agreement (see “Selling Stockholders—Other Material Relationships”). Restricted securities may be sold in the public market only if they are registered under the Securities Act or are sold pursuant to an exemption from registration.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the Selling Stockholders, our other directors and executive officers and the Sponsor Affiliates have agreed with the underwriter, subject to certain exceptions, not to dispose of or hedge any of our or their common stock or securities convertible into or exchangeable for common stock during the period from the date of this prospectus supplement continuing through the date that is 30 days after the date of this prospectus supplement, except with the prior written consent of the underwriter. See “Underwriting” for a description of these lock-up agreements. Upon the expiration of the lock-up agreements pertaining to this offering, up to an additional     shares of common stock, all of which are held by directors, executive officers and the Sponsor Affiliates, will be eligible for sale in the public market, subject to volume, manner of sale and other limitations under Rule 144 and under the A&amp;R Stockholders Agreement. </w:t>
      </w:r>
    </w:p>
    <w:p>
      <w:pPr>
        <w:pStyle w:val="TextBody"/>
        <w:bidi w:val="0"/>
        <w:spacing w:before="240" w:after="0"/>
        <w:jc w:val="left"/>
        <w:rPr>
          <w:rFonts w:ascii="Times New Roman" w:hAnsi="Times New Roman"/>
          <w:sz w:val="20"/>
        </w:rPr>
      </w:pPr>
      <w:r>
        <w:rPr>
          <w:rFonts w:ascii="Times New Roman" w:hAnsi="Times New Roman"/>
          <w:sz w:val="20"/>
        </w:rPr>
        <w:t>The parties to our amended and restated registration rights agreement, dated as of May 3, 2021 (the “</w:t>
      </w:r>
      <w:r>
        <w:rPr>
          <w:rFonts w:ascii="Times New Roman" w:hAnsi="Times New Roman"/>
          <w:sz w:val="20"/>
          <w:u w:val="single"/>
        </w:rPr>
        <w:t>A&amp;R Registration Rights Agreement</w:t>
      </w:r>
      <w:r>
        <w:rPr>
          <w:rFonts w:ascii="Times New Roman" w:hAnsi="Times New Roman"/>
          <w:sz w:val="20"/>
        </w:rPr>
        <w:t xml:space="preserve">”), including certain Sponsor Affiliates, have certain registration rights with respect to our common stock. Pursuant to the A&amp;R Registration Rights Agreement, such Sponsor Affiliates who hold more than 2% of registrable securities have the right to require us to file a registration statement with the SEC for the sale of our common stock, subject to certain exceptions (see “Selling Stockholders—Other Material Relationships”). Such Sponsor Affiliates have the right to an unlimited number of such “demand” registrations. Registration of any of these outstanding shares of common stock would result in such shares becoming freely tradable without compliance with Rule 144 upon effectiveness of the registration statement. If such Sponsor Affiliates exercise their registration rights, the market price of our common stock could drop significantly if the holders of these shares sell them or are perceived by the market as intending to sell them. These factors could also make it more difficult for us to raise additional funds through future offerings of our common stock or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substantial number of shares of common stock are subject to outstanding awards or reserved for future issuance, as applicable, under our 2017 Plan, our 2021 Plan and our ESPP and will become eligible for sale in the public market once those shares are issued, subject to provisions relating to any vesting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also issue our securities in connection with investments or acquisitions. The number of shares of our common stock issued in connection with an investment or acquisition could constitute a material portion of our then-outstanding common stock. Any issuance of additional securities in connection with investments or acquisitions may result in additional dilution to our stockholders and the securities issued may have rights that are senior to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retain all available funds and any future earnings to fund the growth of our business; therefore, we do not anticipate paying any cash dividends in the foreseeable future. As a result of our current dividend policy, you may not receive any return on an investment in our common stock unless you sell our common stock for a price greater than that which you paid for it. Any future determination to declare and pay cash dividends, if any, will be entirely at the discretion of our Board of Directors and will depend upon then-existing conditions, including our earnings, capital requirements, results of operations, financial condition, business prospects and any other factors that our Board of Directors considers relevant. Our ability to pay dividends depends on our receipt of cash dividends from our operating subsidiaries, which may further restrict our ability to pay dividends as a result of the laws of their jurisdiction of organization or agreements of our subsidiaries, including agreements governing our current and future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this offering, we will no longer be a controlled company within the meaning of Nasdaq rules. However, we may continue to rely on exemptions from certain corporate governance requirements during a one-year transition period. </w:t>
      </w:r>
    </w:p>
    <w:p>
      <w:pPr>
        <w:pStyle w:val="TextBody"/>
        <w:bidi w:val="0"/>
        <w:spacing w:before="120" w:after="0"/>
        <w:jc w:val="left"/>
        <w:rPr>
          <w:rFonts w:ascii="Times New Roman" w:hAnsi="Times New Roman"/>
          <w:sz w:val="20"/>
        </w:rPr>
      </w:pPr>
      <w:r>
        <w:rPr>
          <w:rFonts w:ascii="Times New Roman" w:hAnsi="Times New Roman"/>
          <w:sz w:val="20"/>
        </w:rPr>
        <w:t xml:space="preserve">After completion of this offering, the Sponsor Affiliates will no longer together own a majority of our outstanding common stock. As a result, we will no longer be considered a controlled company within the meaning of the corporate governance standards of Nasdaq and the rules of the SEC. However, even though we will no longer be a controlled company, we will continue to qualify for, and may rely on, exemptions from certain corporate governance requirements that would otherwise provide protection to stockholders of other companies during a one-year transition period. During this one-year transition period, we may elect not to comply with certain corporate governance requirements,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a majority of our Board of Directors consist of independent directors as defined under the rules of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we have a compensation committee that is composed entirely of directors who meet Nasdaq independence standards for compensation committee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our director nominations be made, or recommended to our full Board of Directors, by our independent directors or by a nominations committee that consists entirely of independent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rely on the exemption to the requirement that our director nominations be made, or recommended to our full Board of Directors, by our independent directors or by a nominations committee that consists entirely of independent directors. We do not currently and do not intend to rely on the other exemptions listed above, however we may elect to rely on certain of these other exemptions during the one-year transition period. As a result, in the future, our Board of Directors and those committees may have more directors who do not meet Nasdaq’s independence standards than they would if those standards were to apply. The independence standards are intended to ensure that directors who meet those standards are free of any conflicting interest that could influence their actions as directors. Accordingly, you may not have the same protections afforded to stockholders of companies that are subject to all of the corporate governance requirements of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Sponsor Affiliates, which include certain of the Selling Stockholders, own a significant amount of our voting power and their interests may not be aligned with yours. </w:t>
      </w:r>
    </w:p>
    <w:p>
      <w:pPr>
        <w:pStyle w:val="TextBody"/>
        <w:bidi w:val="0"/>
        <w:spacing w:before="120" w:after="0"/>
        <w:jc w:val="left"/>
        <w:rPr>
          <w:rFonts w:ascii="Times New Roman" w:hAnsi="Times New Roman"/>
          <w:sz w:val="20"/>
        </w:rPr>
      </w:pPr>
      <w:r>
        <w:rPr>
          <w:rFonts w:ascii="Times New Roman" w:hAnsi="Times New Roman"/>
          <w:sz w:val="20"/>
        </w:rPr>
        <w:t>As of July 4, 2026, the Sponsor Affiliates collectively beneficially own approximately 50.7% of our common stock. After giving effect to the offer and sale of the common stock by the Selling Stockholders, the Sponsor Affiliates will beneficially own 44.1% of our shares of common stock outstanding (or approximately 43.1% of our shares of common stock outstanding if the underwriter’s option to purchase additional shares from the Whitney Selling Stockholders is exercised in full) assuming 218,152,927 shares are issued and outstanding. So long as our Sponsors, or funds controlled by or associated with our Sponsors, continue to own a significant amount of the outstanding shares of our common stock, even following this offering when such amount is less than 50% of our outstanding shares, our Sponsors will continue to be able to strongly influence us. Our Sponsors are in the business of making investments in companies and may from time to time acquire and hold interests in businesses that compete directly or indirectly with us. One or both of our Sponsors may also pursue acquisition opportunities that may be complementary to our business and, as a result, those acquisition opportunities may not be available to us. Our second amended and restated certificate of incorporation (the “</w:t>
      </w:r>
      <w:r>
        <w:rPr>
          <w:rFonts w:ascii="Times New Roman" w:hAnsi="Times New Roman"/>
          <w:sz w:val="20"/>
          <w:u w:val="single"/>
        </w:rPr>
        <w:t>Amended Charter</w:t>
      </w:r>
      <w:r>
        <w:rPr>
          <w:rFonts w:ascii="Times New Roman" w:hAnsi="Times New Roman"/>
          <w:sz w:val="20"/>
        </w:rPr>
        <w:t xml:space="preserve">”) provides that none of our Sponsors or any of their affiliates will have any duty to refrain from (i) engaging in a corporate opportunity in the same or similar lines of business in which we or our affiliates now engage or propose to engage or (ii) otherwise competing with us or our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is possible that our Sponsors may have interests that are different from other stockholders and may vote in a way with which other stockholders may disagree and that may be adverse to other stockholders’ interests. Further, the Sponsors may have differing views from each other, none of which may align with other stockholders’ interests. In addition, the Sponsors’ concentration of ownership could have the effect of delaying or preventing a change in control or otherwise discouraging a potential acquirer from attempting to obtain control of us, which could cause the market price of our common stock to decline or prevent our stockholders from realizing a premium over the market price for their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governing documents and under Delaware law could make an acquisition of our company more difficult, limit attempts by our stockholders to replace or remove our current management and limit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Our Amended Charter, second amended and restated bylaws (the “</w:t>
      </w:r>
      <w:r>
        <w:rPr>
          <w:rFonts w:ascii="Times New Roman" w:hAnsi="Times New Roman"/>
          <w:sz w:val="20"/>
          <w:u w:val="single"/>
        </w:rPr>
        <w:t>Amended Bylaws</w:t>
      </w:r>
      <w:r>
        <w:rPr>
          <w:rFonts w:ascii="Times New Roman" w:hAnsi="Times New Roman"/>
          <w:sz w:val="20"/>
        </w:rPr>
        <w:t xml:space="preserve">”) and Delaware law contain provisions that could have the effect of rendering more difficult, delaying or preventing an acquisition deemed undesirable by our Board of Directors. Among other things, our Amended Charter and/or Amended Bylaws include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staggered board, which means that our Board of Directors is classified into three classes of directors with staggered three-year terms and directors are only able to be removed from office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convening special stockholder meetings, which could make it difficult for our stockholders to adopt desired governance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 prohibition on stockholder action by written consent from and after the date on which the Sponsors and each of their respective affiliates cease to beneficially own in the aggregate at least 50% of the outstanding shares of common stock (the “</w:t>
            </w:r>
            <w:r>
              <w:rPr>
                <w:rFonts w:ascii="Times New Roman" w:hAnsi="Times New Roman"/>
                <w:sz w:val="20"/>
                <w:u w:val="single"/>
              </w:rPr>
              <w:t>Trigger Event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forum selection clause, which means certain litigation against us can only be brought in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Trigger Event, the removal of directors only for cause and only upon the affirmative vote of the holders of at least 66 2/3% in voting power of all of the then-outstanding shares of our common stock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from and after the Trigger Event, requiring the affirmative vote of holders of at least 66 2/3% of the voting power of all of the then outstanding shares of common stock to amend provisions of our Amended Charter relating to the management of our business, our Board of Directors, stockholder action by written consent, calling special meetings of stockholders, competition and corporate opportunities, Section 203 of the Delaware General Corporation Law (the “</w:t>
            </w:r>
            <w:r>
              <w:rPr>
                <w:rFonts w:ascii="Times New Roman" w:hAnsi="Times New Roman"/>
                <w:sz w:val="20"/>
                <w:u w:val="single"/>
              </w:rPr>
              <w:t>DGCL</w:t>
            </w:r>
            <w:r>
              <w:rPr>
                <w:rFonts w:ascii="Times New Roman" w:hAnsi="Times New Roman"/>
                <w:sz w:val="20"/>
              </w:rPr>
              <w:t xml:space="preserve">”), forum selection and the liability of our directors, or to amend, alter, rescind or repeal our Amended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authorization of undesignated preferred stock, the terms of which may be established and shares of which may be issued without further action by our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procedures, which apply for stockholders to nominate candidates for election as directors or to bring matters before an annual meeting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the consummation of this offering, we will no longer be a controlled company and, in connection therewith, a Trigger Event will be deemed to have occurred and the anti-takeover provisions described above will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or prevent hostile takeovers and changes in control or changes in our management. We have opted out of Section 203 of the DGCL. However, our Amended Charter contains similar provisions providing that we may not engage in certain “business combinations” with any “interested stockholder” for a three-year period following the time that the stockholder became an interested stockholder, unless (i) prior to the time such stockholder became an interested stockholder, the Board of Directors approved the transaction that resulted in such stockholder becoming an interested stockholder, (ii) upon consummation of the transaction that resulted in such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becoming an interested stockholder, the interested stockholder owned at least 85% of the common stock or (iii) following Board of Directors approval, the business combination receives the approval of the holders of at least two-thirds of our outstanding common stock not held by such interested stockholder at an annual or special meeting of stockholders. Our Amended Charter provides that the Sponsors and their respective affiliates, and any of their respective direct or indirect transferees and any group as to which such persons are a party, do not constitute “interested stockholders” for purposes of this provision.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our Amended Charter,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common stock has been, and may continue to be, volatile which could reduce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publicly traded shares of our common stock have experienced, and may experience in the future, significant price and volume fluctuations. This market volatility could reduce the market price of our common stock without regard to our operating performance. In addition, the trading price of our common stock could change significantly in response to actual or anticipated variations in our quarterly operating results, announcements by us or our competitors, changes in national or regional economic conditions, changes in securities analysts’ estimates for us or our competitors’ or industry’s future performance or general market conditions. These factors could make it more difficult for shares of our common stock to be sold at a favorable price, or at all. Furthermore, general market declines or stock volatility within our particular industry could reduce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321536_4"/>
      <w:bookmarkEnd w:id="6"/>
      <w:r>
        <w:rPr>
          <w:rFonts w:ascii="Times New Roman" w:hAnsi="Times New Roman"/>
          <w:b/>
          <w:sz w:val="20"/>
        </w:rPr>
        <w:t xml:space="preserve">CAUTIONARY STATEMENT ABOUT FORWARD-LOOKING INFORMATION </w:t>
      </w:r>
    </w:p>
    <w:p>
      <w:pPr>
        <w:pStyle w:val="TextBody"/>
        <w:bidi w:val="0"/>
        <w:spacing w:before="240" w:after="0"/>
        <w:jc w:val="left"/>
        <w:rPr>
          <w:rFonts w:ascii="Times New Roman" w:hAnsi="Times New Roman"/>
          <w:sz w:val="20"/>
        </w:rPr>
      </w:pPr>
      <w:r>
        <w:rPr>
          <w:rFonts w:ascii="Times New Roman" w:hAnsi="Times New Roman"/>
          <w:sz w:val="20"/>
        </w:rPr>
        <w:t>Certain of the statements contained in this prospectus supplement, accompanying prospectus and in documents and information incorporated by reference herein and therein are “forward-looking” statements as defined in the Private Securities Litigation Reform Act of 1995 (“</w:t>
      </w:r>
      <w:r>
        <w:rPr>
          <w:rFonts w:ascii="Times New Roman" w:hAnsi="Times New Roman"/>
          <w:sz w:val="20"/>
          <w:u w:val="single"/>
        </w:rPr>
        <w:t>PSLRA</w:t>
      </w:r>
      <w:r>
        <w:rPr>
          <w:rFonts w:ascii="Times New Roman" w:hAnsi="Times New Roman"/>
          <w:sz w:val="20"/>
        </w:rPr>
        <w:t>”), Section 27A of the Securities Act, and Section 21E of the Securities Exchange Act of 1934, as amended (the “</w:t>
      </w:r>
      <w:r>
        <w:rPr>
          <w:rFonts w:ascii="Times New Roman" w:hAnsi="Times New Roman"/>
          <w:sz w:val="20"/>
          <w:u w:val="single"/>
        </w:rPr>
        <w:t>Exchange Act</w:t>
      </w:r>
      <w:r>
        <w:rPr>
          <w:rFonts w:ascii="Times New Roman" w:hAnsi="Times New Roman"/>
          <w:sz w:val="20"/>
        </w:rPr>
        <w:t xml:space="preserve">”). Forward-looking statements include statements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Forward-looking statements may include, but are not limited to, statements relating to our objectives, plans and strategies as well as statements, other than historical facts, that address activities, events or developments that we intend, expect, project, believe or anticipate will or may occur in the future. These statements are often characterized by terminology such as “may,” “will,” “should,” “expects,” “plans,” “anticipates,” “could,” “intends,” “target,” “projects,” “contemplates,” “believes,” “estimates,” “predicts,” “potential,” or “continue” or the negative of these terms or other similar expressions.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described in “Item 1A-Risk Factors” of our Annual Report on Form 10-K for the fiscal year ended January 3, 2026, which is incorporated by reference in this prospectus supplement and the accompanying prospectus, as well as the other risks described herein and in the other documents incorporated by reference in this prospectus supplement. We do not undertake any obligation to update forward-looking statements, except to the extent required by applicable law. We intend that all forward-looking statements be subject to the safe-harbor provisions of the PSLRA. These forward-looking statements are only predictions and reflect our views as of the date they are made with respect to future events and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the occurrence of which could adversely affect our business,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intense competition among home health, hospice and durable medical equipment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relationships with existing patient referral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have services funded from third-party payers, including Medicare, Medicaid and private health insurance companies, including as a result of changes to Medicaid to be implemented under the One Big Beautiful Bill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Medicare or Medicaid rates or methods governing Medicare or Medicaid payments, and the implementation of alternative payment models, including but not limited to Medicare Advantage, Managed Care Organization, managed Medicaid, and other forms of managed 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downward pressure on reimbursement resulting from further proliferation of Medicare Advantage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limited ability to control reimbursement rates received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collection or non-collection of our patient accounts receivable, particularly during the business integration process, or when transitioning between systems associated with clinical data collection and submission, as well as billing and collection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reform and other regulations, including risks related to the final rule issued for the home health prospective payment system by Centers for Medicare &amp; Medicaid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case-mix of our patients, as well as payer mix and payment methodologies;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reduction in net reimbursement if we do not effectively implement value-based 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our business, financial condition and results of operations may be materially adversely affected by public health emergencies, such as a pandemic or other infectious disease outbreak;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shortages in qualified employees and management and competition for qualified personnel;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maintain the security and functionality of our information systems or to defend against or otherwise prevent a cybersecurity attack or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substantial indebtedness, which increases our vulnerability to general adverse economic and industry conditions and may limit our ability to pursue strategic alternatives and react to changes in our business and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obtain financing for, acquire and integrate strategic and accretive businesses or assets, including in connection with our acquisition of Family First Holding, LLC;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legal proceedings, claims and governmental inquiries given that the nature of our business exposes us to various liability claims, which may exceed the level of our insurance coverage.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there can be no assurance that the forward-looking statements contained herein will occur or that objectives will be achieved, and all such forward-looking statements are expressly qualified in their entirety by the factors above, as well as those contained in the “Risk Factors” sections of the reports we file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321536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shares of common stock by the Selling Stockholders. </w:t>
      </w:r>
    </w:p>
    <w:p>
      <w:pPr>
        <w:pStyle w:val="TextBody"/>
        <w:bidi w:val="0"/>
        <w:spacing w:before="0" w:after="0"/>
        <w:jc w:val="left"/>
        <w:rPr>
          <w:rFonts w:ascii="Times New Roman" w:hAnsi="Times New Roman"/>
          <w:sz w:val="20"/>
        </w:rPr>
      </w:pPr>
      <w:r>
        <w:rPr>
          <w:rFonts w:ascii="Times New Roman" w:hAnsi="Times New Roman"/>
          <w:sz w:val="20"/>
        </w:rPr>
        <w:t xml:space="preserve">However, we will pay the offering expenses, other than underwriting discounts and commissions, incurred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321536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below table and its accompanying footnotes set forth information with respect to the beneficial ownership of our common stock as of August 18, 2026,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affiliates of J.H. Whitney Equity Partners VII and Robert M. Williams Jr. acquired their respective shares of common stock in connection with various transactions prior to, and in advance of, our April 2021 initial public offering. Robert M. Williams Jr., a Selling Stockholder and a senior managing director at Whitney, one of our Sponsors, previously served as a member of our Board of Directors from our formation in 2017 to February 2026. A description of our other material relationships with the Selling Stockholders and their affiliates is set forth in “—Other Material Relationships.” </w:t>
      </w:r>
    </w:p>
    <w:p>
      <w:pPr>
        <w:pStyle w:val="TextBody"/>
        <w:bidi w:val="0"/>
        <w:spacing w:before="240" w:after="0"/>
        <w:jc w:val="left"/>
        <w:rPr>
          <w:rFonts w:ascii="Times New Roman" w:hAnsi="Times New Roman"/>
          <w:sz w:val="20"/>
        </w:rPr>
      </w:pPr>
      <w:r>
        <w:rPr>
          <w:rFonts w:ascii="Times New Roman" w:hAnsi="Times New Roman"/>
          <w:sz w:val="20"/>
        </w:rPr>
        <w:t xml:space="preserve">Rodney D. Windley currently serves as the Chairman of our Board of Directors, Jeff Shaner currently serves as our Chief Executive Officer and as a member of our Board of Directors and Ed Reisz currently serves as our Chief Administrative Officer. </w:t>
      </w:r>
    </w:p>
    <w:p>
      <w:pPr>
        <w:pStyle w:val="TextBody"/>
        <w:bidi w:val="0"/>
        <w:spacing w:before="240" w:after="0"/>
        <w:jc w:val="left"/>
        <w:rPr>
          <w:rFonts w:ascii="Times New Roman" w:hAnsi="Times New Roman"/>
          <w:sz w:val="20"/>
        </w:rPr>
      </w:pPr>
      <w:r>
        <w:rPr>
          <w:rFonts w:ascii="Times New Roman" w:hAnsi="Times New Roman"/>
          <w:sz w:val="20"/>
        </w:rPr>
        <w:t xml:space="preserve">Tony Strange previously served as our Chief Executive Officer and as a member of our Board of Directors from our formation in 2017 until December 2022. </w:t>
      </w:r>
    </w:p>
    <w:p>
      <w:pPr>
        <w:pStyle w:val="TextBody"/>
        <w:bidi w:val="0"/>
        <w:spacing w:before="240" w:after="0"/>
        <w:jc w:val="left"/>
        <w:rPr>
          <w:rFonts w:ascii="Times New Roman" w:hAnsi="Times New Roman"/>
          <w:sz w:val="20"/>
        </w:rPr>
      </w:pPr>
      <w:r>
        <w:rPr>
          <w:rFonts w:ascii="Times New Roman" w:hAnsi="Times New Roman"/>
          <w:sz w:val="20"/>
        </w:rPr>
        <w:t>The amounts and percentages of our common stock beneficially owned are reported on the basis of rules of the SEC governing the determination of beneficial ownership of securities. Under these rules, a person is deemed to be a “beneficial owner” of a security if that person has or shares “voting power,” which includes the power to vote or direct the voting of such security, or “investment power,” which includes the power to dispose of or to direct the disposition of such security. A person is also deemed to be a beneficial owner of any securities of which that person has a right to acquire within 60 days after August 18, 2026, including pursuant to the exercise of options or other derivative securities. Securities that can be so acquired are deemed to be outstanding for purposes of computing such person’s ownership percentage but not for purposes of computing any other person’s percentage. More than one person may be deemed to be a beneficial owner of the same securities. Unless otherwise indicated below, to our knowledge, all persons listed below have sole voting and investment power with respect to their shares of common stock, except to the extent authority is shared by spouses under applicable law.</w:t>
      </w:r>
    </w:p>
    <w:p>
      <w:pPr>
        <w:pStyle w:val="TextBody"/>
        <w:bidi w:val="0"/>
        <w:spacing w:before="240" w:after="0"/>
        <w:jc w:val="left"/>
        <w:rPr>
          <w:rFonts w:ascii="Times New Roman" w:hAnsi="Times New Roman"/>
          <w:sz w:val="20"/>
        </w:rPr>
      </w:pPr>
      <w:r>
        <w:rPr>
          <w:rFonts w:ascii="Times New Roman" w:hAnsi="Times New Roman"/>
          <w:sz w:val="20"/>
        </w:rPr>
        <w:t xml:space="preserve">The percentages set forth below reflect beneficial ownership determined in accordance with Rule 13d-3 under the Exchange Act, based on 218,290,683 shares of our common stock outstanding as of August 18, 2026, (1) immediately prior to completion of the offering, (2) immediately after completion of the offering and (3) immediately after completion of this offering after giving effect to this offering and assuming full exercise of the underwriter’s option to purchase additional shares from certain of the Whitney Selling Stockholders. </w:t>
      </w:r>
    </w:p>
    <w:p>
      <w:pPr>
        <w:pStyle w:val="TextBody"/>
        <w:bidi w:val="0"/>
        <w:spacing w:before="0" w:after="0"/>
        <w:jc w:val="left"/>
        <w:rPr/>
      </w:pPr>
      <w:r>
        <w:rPr/>
        <w:t> </w:t>
      </w:r>
    </w:p>
    <w:tbl>
      <w:tblPr>
        <w:tblW w:w="14885" w:type="dxa"/>
        <w:jc w:val="center"/>
        <w:tblInd w:w="0" w:type="dxa"/>
        <w:tblLayout w:type="fixed"/>
        <w:tblCellMar>
          <w:top w:w="0" w:type="dxa"/>
          <w:left w:w="0" w:type="dxa"/>
          <w:bottom w:w="0" w:type="dxa"/>
          <w:right w:w="0" w:type="dxa"/>
        </w:tblCellMar>
      </w:tblPr>
      <w:tblGrid>
        <w:gridCol w:w="2075"/>
        <w:gridCol w:w="120"/>
        <w:gridCol w:w="60"/>
        <w:gridCol w:w="1100"/>
        <w:gridCol w:w="60"/>
        <w:gridCol w:w="120"/>
        <w:gridCol w:w="153"/>
        <w:gridCol w:w="1127"/>
        <w:gridCol w:w="275"/>
        <w:gridCol w:w="60"/>
        <w:gridCol w:w="60"/>
        <w:gridCol w:w="1100"/>
        <w:gridCol w:w="350"/>
        <w:gridCol w:w="60"/>
        <w:gridCol w:w="110"/>
        <w:gridCol w:w="2027"/>
        <w:gridCol w:w="110"/>
        <w:gridCol w:w="221"/>
        <w:gridCol w:w="200"/>
        <w:gridCol w:w="1080"/>
        <w:gridCol w:w="275"/>
        <w:gridCol w:w="60"/>
        <w:gridCol w:w="113"/>
        <w:gridCol w:w="2075"/>
        <w:gridCol w:w="113"/>
        <w:gridCol w:w="226"/>
        <w:gridCol w:w="201"/>
        <w:gridCol w:w="1079"/>
        <w:gridCol w:w="2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0" w:type="dxa"/>
            <w:gridSpan w:val="6"/>
            <w:tcBorders>
              <w:bottom w:val="single" w:sz="8" w:space="0" w:color="000000"/>
            </w:tcBorders>
            <w:tcMar>
              <w:bottom w:w="28" w:type="dxa"/>
            </w:tcMar>
            <w:vAlign w:val="bottom"/>
          </w:tcPr>
          <w:p>
            <w:pPr>
              <w:pStyle w:val="TableContents"/>
              <w:bidi w:val="0"/>
              <w:spacing w:before="0" w:after="283"/>
              <w:jc w:val="center"/>
              <w:rPr/>
            </w:pPr>
            <w:r>
              <w:rPr>
                <w:b/>
              </w:rPr>
              <w:t>Common Stock</w:t>
            </w:r>
            <w:r>
              <w:rPr/>
              <w:br/>
            </w:r>
            <w:r>
              <w:rPr>
                <w:b/>
              </w:rPr>
              <w:t>Beneficially Owned</w:t>
            </w:r>
            <w:r>
              <w:rPr/>
              <w:br/>
            </w:r>
            <w:r>
              <w:rPr>
                <w:b/>
              </w:rPr>
              <w:t>Before this Offering</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6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Shares</w:t>
            </w:r>
            <w:r>
              <w:rPr/>
              <w:br/>
            </w:r>
            <w:r>
              <w:rPr>
                <w:b/>
              </w:rPr>
              <w:t>Being</w:t>
            </w:r>
            <w:r>
              <w:rPr/>
              <w:br/>
            </w:r>
            <w:r>
              <w:rPr>
                <w:b/>
              </w:rPr>
              <w:t>Sold in this</w:t>
            </w:r>
            <w:r>
              <w:rPr/>
              <w:br/>
            </w:r>
            <w:r>
              <w:rPr>
                <w:b/>
              </w:rPr>
              <w:t>Offering</w:t>
            </w:r>
          </w:p>
        </w:tc>
        <w:tc>
          <w:tcPr>
            <w:tcW w:w="35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8" w:type="dxa"/>
            <w:gridSpan w:val="6"/>
            <w:tcBorders>
              <w:bottom w:val="single" w:sz="8" w:space="0" w:color="000000"/>
            </w:tcBorders>
            <w:tcMar>
              <w:bottom w:w="28" w:type="dxa"/>
            </w:tcMar>
            <w:vAlign w:val="bottom"/>
          </w:tcPr>
          <w:p>
            <w:pPr>
              <w:pStyle w:val="TableContents"/>
              <w:bidi w:val="0"/>
              <w:spacing w:before="0" w:after="283"/>
              <w:jc w:val="center"/>
              <w:rPr/>
            </w:pPr>
            <w:r>
              <w:rPr>
                <w:b/>
              </w:rPr>
              <w:t>Common Stock</w:t>
            </w:r>
            <w:r>
              <w:rPr/>
              <w:br/>
            </w:r>
            <w:r>
              <w:rPr>
                <w:b/>
              </w:rPr>
              <w:t>Beneficially Owned</w:t>
            </w:r>
            <w:r>
              <w:rPr/>
              <w:br/>
            </w:r>
            <w:r>
              <w:rPr>
                <w:b/>
              </w:rPr>
              <w:t>After this Offering</w:t>
            </w:r>
            <w:r>
              <w:rPr/>
              <w:br/>
            </w:r>
            <w:r>
              <w:rPr>
                <w:b/>
              </w:rPr>
              <w:t>(assuming no exercise of option)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7" w:type="dxa"/>
            <w:gridSpan w:val="6"/>
            <w:tcBorders>
              <w:bottom w:val="single" w:sz="8" w:space="0" w:color="000000"/>
            </w:tcBorders>
            <w:tcMar>
              <w:bottom w:w="28" w:type="dxa"/>
            </w:tcMar>
            <w:vAlign w:val="bottom"/>
          </w:tcPr>
          <w:p>
            <w:pPr>
              <w:pStyle w:val="TableContents"/>
              <w:bidi w:val="0"/>
              <w:spacing w:before="0" w:after="283"/>
              <w:jc w:val="center"/>
              <w:rPr/>
            </w:pPr>
            <w:r>
              <w:rPr>
                <w:b/>
              </w:rPr>
              <w:t>Common Stock</w:t>
            </w:r>
            <w:r>
              <w:rPr/>
              <w:br/>
            </w:r>
            <w:r>
              <w:rPr>
                <w:b/>
              </w:rPr>
              <w:t>Beneficially Owned</w:t>
            </w:r>
            <w:r>
              <w:rPr/>
              <w:br/>
            </w:r>
            <w:r>
              <w:rPr>
                <w:b/>
              </w:rPr>
              <w:t>After this Offering</w:t>
            </w:r>
            <w:r>
              <w:rPr/>
              <w:br/>
            </w:r>
            <w:r>
              <w:rPr>
                <w:b/>
              </w:rPr>
              <w:t>(assuming full exercise of option)</w:t>
            </w:r>
          </w:p>
        </w:tc>
        <w:tc>
          <w:tcPr>
            <w:tcW w:w="275" w:type="dxa"/>
            <w:tcBorders/>
            <w:vAlign w:val="bottom"/>
          </w:tcPr>
          <w:p>
            <w:pPr>
              <w:pStyle w:val="TableContents"/>
              <w:bidi w:val="0"/>
              <w:spacing w:before="0" w:after="283"/>
              <w:jc w:val="left"/>
              <w:rPr/>
            </w:pPr>
            <w:r>
              <w:rPr/>
              <w:t> </w:t>
            </w:r>
          </w:p>
        </w:tc>
      </w:tr>
      <w:tr>
        <w:trPr/>
        <w:tc>
          <w:tcPr>
            <w:tcW w:w="207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of Selling Stockholder</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Total</w:t>
            </w:r>
            <w:r>
              <w:rPr/>
              <w:br/>
            </w:r>
            <w:r>
              <w:rPr>
                <w:b/>
              </w:rPr>
              <w:t>Outstanding</w:t>
            </w:r>
            <w:r>
              <w:rPr/>
              <w:br/>
            </w:r>
            <w:r>
              <w:rPr>
                <w:b/>
              </w:rPr>
              <w:t>Common</w:t>
            </w:r>
            <w:r>
              <w:rPr/>
              <w:br/>
            </w:r>
            <w:r>
              <w:rPr>
                <w:b/>
              </w:rPr>
              <w:t>Stock (%)</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60" w:type="dxa"/>
            <w:gridSpan w:val="2"/>
            <w:vMerge w:val="continue"/>
            <w:tcBorders>
              <w:bottom w:val="single" w:sz="8" w:space="0" w:color="000000"/>
            </w:tcBorders>
            <w:tcMar>
              <w:bottom w:w="28" w:type="dxa"/>
            </w:tcMar>
            <w:vAlign w:val="bottom"/>
          </w:tcPr>
          <w:p>
            <w:pPr>
              <w:pStyle w:val="Normal"/>
              <w:bidi w:val="0"/>
              <w:jc w:val="left"/>
              <w:rPr/>
            </w:pPr>
            <w:r>
              <w:rPr/>
            </w:r>
          </w:p>
        </w:tc>
        <w:tc>
          <w:tcPr>
            <w:tcW w:w="35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137"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11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Total</w:t>
            </w:r>
            <w:r>
              <w:rPr/>
              <w:br/>
            </w:r>
            <w:r>
              <w:rPr>
                <w:b/>
              </w:rPr>
              <w:t>Outstanding</w:t>
            </w:r>
            <w:r>
              <w:rPr/>
              <w:br/>
            </w:r>
            <w:r>
              <w:rPr>
                <w:b/>
              </w:rPr>
              <w:t>Common</w:t>
            </w:r>
            <w:r>
              <w:rPr/>
              <w:br/>
            </w:r>
            <w:r>
              <w:rPr>
                <w:b/>
              </w:rPr>
              <w:t>Stock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8"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11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Total</w:t>
            </w:r>
            <w:r>
              <w:rPr/>
              <w:br/>
            </w:r>
            <w:r>
              <w:rPr>
                <w:b/>
              </w:rPr>
              <w:t>Outstanding</w:t>
            </w:r>
            <w:r>
              <w:rPr/>
              <w:br/>
            </w:r>
            <w:r>
              <w:rPr>
                <w:b/>
              </w:rPr>
              <w:t>Common</w:t>
            </w:r>
            <w:r>
              <w:rPr/>
              <w:br/>
            </w:r>
            <w:r>
              <w:rPr>
                <w:b/>
              </w:rPr>
              <w:t>Stock (%)</w:t>
            </w:r>
          </w:p>
        </w:tc>
        <w:tc>
          <w:tcPr>
            <w:tcW w:w="275"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Sponsor Affiliates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2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2027"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207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J.H. Whitney Equity Partners VII(1)</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27,061,969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12.4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12,496,077</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027" w:type="dxa"/>
            <w:tcBorders/>
            <w:vAlign w:val="bottom"/>
          </w:tcPr>
          <w:p>
            <w:pPr>
              <w:pStyle w:val="TableContents"/>
              <w:bidi w:val="0"/>
              <w:spacing w:before="0" w:after="283"/>
              <w:jc w:val="right"/>
              <w:rPr/>
            </w:pPr>
            <w:r>
              <w:rPr/>
              <w:t>14,565,892</w:t>
            </w:r>
          </w:p>
        </w:tc>
        <w:tc>
          <w:tcPr>
            <w:tcW w:w="11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6.7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right"/>
              <w:rPr/>
            </w:pPr>
            <w:r>
              <w:rPr/>
              <w:t>12,315,892</w:t>
            </w:r>
          </w:p>
        </w:tc>
        <w:tc>
          <w:tcPr>
            <w:tcW w:w="11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5.6</w:t>
            </w:r>
          </w:p>
        </w:tc>
        <w:tc>
          <w:tcPr>
            <w:tcW w:w="275"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M. Williams Jr.(3)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2,003,923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2,003,923</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027"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w:t>
            </w:r>
          </w:p>
        </w:tc>
        <w:tc>
          <w:tcPr>
            <w:tcW w:w="11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Officers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202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207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 Shaner(5)</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4,567,540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90,000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027" w:type="dxa"/>
            <w:tcBorders/>
            <w:shd w:fill="CCEEFF" w:val="clear"/>
            <w:vAlign w:val="bottom"/>
          </w:tcPr>
          <w:p>
            <w:pPr>
              <w:pStyle w:val="TableContents"/>
              <w:bidi w:val="0"/>
              <w:spacing w:before="0" w:after="283"/>
              <w:jc w:val="right"/>
              <w:rPr/>
            </w:pPr>
            <w:r>
              <w:rPr/>
              <w:t>4,477,540</w:t>
            </w:r>
          </w:p>
        </w:tc>
        <w:tc>
          <w:tcPr>
            <w:tcW w:w="11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4,477,540</w:t>
            </w:r>
          </w:p>
        </w:tc>
        <w:tc>
          <w:tcPr>
            <w:tcW w:w="11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Rodney D. Windley(6)</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4,174,665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1.9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180,000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027" w:type="dxa"/>
            <w:tcBorders/>
            <w:vAlign w:val="bottom"/>
          </w:tcPr>
          <w:p>
            <w:pPr>
              <w:pStyle w:val="TableContents"/>
              <w:bidi w:val="0"/>
              <w:spacing w:before="0" w:after="283"/>
              <w:jc w:val="right"/>
              <w:rPr/>
            </w:pPr>
            <w:r>
              <w:rPr/>
              <w:t>3,994,665</w:t>
            </w:r>
          </w:p>
        </w:tc>
        <w:tc>
          <w:tcPr>
            <w:tcW w:w="11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right"/>
              <w:rPr/>
            </w:pPr>
            <w:r>
              <w:rPr/>
              <w:t>3,994,665</w:t>
            </w:r>
          </w:p>
        </w:tc>
        <w:tc>
          <w:tcPr>
            <w:tcW w:w="11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 Reisz(7)</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2,208,177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027" w:type="dxa"/>
            <w:tcBorders/>
            <w:shd w:fill="CCEEFF" w:val="clear"/>
            <w:vAlign w:val="bottom"/>
          </w:tcPr>
          <w:p>
            <w:pPr>
              <w:pStyle w:val="TableContents"/>
              <w:bidi w:val="0"/>
              <w:spacing w:before="0" w:after="283"/>
              <w:jc w:val="right"/>
              <w:rPr/>
            </w:pPr>
            <w:r>
              <w:rPr/>
              <w:t>2,158,177</w:t>
            </w:r>
          </w:p>
        </w:tc>
        <w:tc>
          <w:tcPr>
            <w:tcW w:w="11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2,158,177</w:t>
            </w:r>
          </w:p>
        </w:tc>
        <w:tc>
          <w:tcPr>
            <w:tcW w:w="11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Selling Stockholders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202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207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0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Tony Strange(8)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3,736,986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180,000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027" w:type="dxa"/>
            <w:tcBorders/>
            <w:shd w:fill="CCEEFF" w:val="clear"/>
            <w:vAlign w:val="bottom"/>
          </w:tcPr>
          <w:p>
            <w:pPr>
              <w:pStyle w:val="TableContents"/>
              <w:bidi w:val="0"/>
              <w:spacing w:before="0" w:after="283"/>
              <w:jc w:val="right"/>
              <w:rPr/>
            </w:pPr>
            <w:r>
              <w:rPr/>
              <w:t>3,556,896</w:t>
            </w:r>
          </w:p>
        </w:tc>
        <w:tc>
          <w:tcPr>
            <w:tcW w:w="11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3,556,896</w:t>
            </w:r>
          </w:p>
        </w:tc>
        <w:tc>
          <w:tcPr>
            <w:tcW w:w="11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Includes (i) 10,112,125 shares registered in the name of J.H. Whitney VII, L.P., (ii) 15,523,810 shares registered in the name of PSA Healthcare Investment Holding LLC, and (iii) 1,426,034 shares registered in the name of PSA Iliad Holdings LLC (together, the “</w:t>
            </w:r>
            <w:r>
              <w:rPr>
                <w:rFonts w:ascii="Times New Roman" w:hAnsi="Times New Roman"/>
                <w:sz w:val="20"/>
                <w:u w:val="single"/>
              </w:rPr>
              <w:t>J.H. Whitney Entities</w:t>
            </w:r>
            <w:r>
              <w:rPr>
                <w:rFonts w:ascii="Times New Roman" w:hAnsi="Times New Roman"/>
                <w:sz w:val="20"/>
              </w:rPr>
              <w:t xml:space="preserve">”). The governance, investment strategy and decision-making process with respect to investments held by the J.H. Whitney Entities is directed by J.H. Whitney Equity Partners VII, LLC. As a result, J.H. Whitney Equity Partners VII, LLC may be deemed to share voting and dispositive power with respect to the shares held by the J.H. Whitney Entities. Each of the J.H. Whitney Entities has an address c/o J.H. Whitney Capital Partners, LLC, 212 Elm Street, New Canaan, Connecticut 06840.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10,112,125 shares registered in the name of J.H. Whitney VII, L.P., (ii) 1,426,034 shares registered in the name of PSA Iliad Holdings LLC and (iii) 957,918 shares registered in the name of PSA Healthcare Investment Holding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Does not include shares held by the J.H. Whitney Entities but includes 1,813,794 shares held by JHW Iliad Holdings LLC (“</w:t>
            </w:r>
            <w:r>
              <w:rPr>
                <w:rFonts w:ascii="Times New Roman" w:hAnsi="Times New Roman"/>
                <w:sz w:val="20"/>
                <w:u w:val="single"/>
              </w:rPr>
              <w:t>JHW Iliad</w:t>
            </w:r>
            <w:r>
              <w:rPr>
                <w:rFonts w:ascii="Times New Roman" w:hAnsi="Times New Roman"/>
                <w:sz w:val="20"/>
              </w:rPr>
              <w:t>”) and 190,129 shares held by JHW Iliad Holdings II LLC (“</w:t>
            </w:r>
            <w:r>
              <w:rPr>
                <w:rFonts w:ascii="Times New Roman" w:hAnsi="Times New Roman"/>
                <w:sz w:val="20"/>
                <w:u w:val="single"/>
              </w:rPr>
              <w:t>JHW Iliad II</w:t>
            </w:r>
            <w:r>
              <w:rPr>
                <w:rFonts w:ascii="Times New Roman" w:hAnsi="Times New Roman"/>
                <w:sz w:val="20"/>
              </w:rPr>
              <w:t>”). Project Iliad Managing Member, LLC (“</w:t>
            </w:r>
            <w:r>
              <w:rPr>
                <w:rFonts w:ascii="Times New Roman" w:hAnsi="Times New Roman"/>
                <w:sz w:val="20"/>
                <w:u w:val="single"/>
              </w:rPr>
              <w:t>Project Iliad</w:t>
            </w:r>
            <w:r>
              <w:rPr>
                <w:rFonts w:ascii="Times New Roman" w:hAnsi="Times New Roman"/>
                <w:sz w:val="20"/>
              </w:rPr>
              <w:t>”) is the managing member of JHW Iliad. J.H. Whitney Capital Partners, LLC (“</w:t>
            </w:r>
            <w:r>
              <w:rPr>
                <w:rFonts w:ascii="Times New Roman" w:hAnsi="Times New Roman"/>
                <w:sz w:val="20"/>
                <w:u w:val="single"/>
              </w:rPr>
              <w:t>JHW Capital Partners</w:t>
            </w:r>
            <w:r>
              <w:rPr>
                <w:rFonts w:ascii="Times New Roman" w:hAnsi="Times New Roman"/>
                <w:sz w:val="20"/>
              </w:rPr>
              <w:t>”) is the sole member of J.H. Whitney VII Management Co., LLC (“</w:t>
            </w:r>
            <w:r>
              <w:rPr>
                <w:rFonts w:ascii="Times New Roman" w:hAnsi="Times New Roman"/>
                <w:sz w:val="20"/>
                <w:u w:val="single"/>
              </w:rPr>
              <w:t>JHW Management Co. VII</w:t>
            </w:r>
            <w:r>
              <w:rPr>
                <w:rFonts w:ascii="Times New Roman" w:hAnsi="Times New Roman"/>
                <w:sz w:val="20"/>
              </w:rPr>
              <w:t xml:space="preserve">”), which is the managing member of JHW Iliad II. Mr. Williams is a senior managing director at J.H. Whitney Equity Partners VII, LLC and is a Member of Project Iliad and a Senior Managing Director of JHW Capital Partners. As a result, by virtue of the relationships described in footnote 1 above, and in the foregoing sentence, Mr. Williams may be deemed to share beneficial ownership of the shares held by the J.H. Whitney Entities, JHW Iliad and JHW Iliad II. Mr. Williams disclaims beneficial ownership of these securities except to the extent of his pecuniary interest therein. The address for Mr. Williams is c/o J.H. Whitney Capital Partners, LLC, 212 Elm Street, New Canaan, Connecticut 06840.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1,813,794 shares registered in the name of JHW Iliad Holdings LLC and (ii) 190,129 shares registered in the name of JHW Iliad Holdings II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1,916,648 shares issuable upon exercise of options.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1,916,648 shares issuable upon exercise of options.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761,120 shares issuable upon exercise of options.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1,916,648 shares issuable upon exercise of options.    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Material Relationships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Stockholders Agreement </w:t>
      </w:r>
    </w:p>
    <w:p>
      <w:pPr>
        <w:pStyle w:val="TextBody"/>
        <w:bidi w:val="0"/>
        <w:spacing w:before="120" w:after="0"/>
        <w:jc w:val="left"/>
        <w:rPr>
          <w:rFonts w:ascii="Times New Roman" w:hAnsi="Times New Roman"/>
          <w:sz w:val="20"/>
        </w:rPr>
      </w:pPr>
      <w:r>
        <w:rPr>
          <w:rFonts w:ascii="Times New Roman" w:hAnsi="Times New Roman"/>
          <w:sz w:val="20"/>
        </w:rPr>
        <w:t>On March 16, 2017, we and the Sponsor Affiliates and certain of our directors and executive officers, including each of the Selling Stockholders, and certain other investors entered into a stockholders’ agreement (the “</w:t>
      </w:r>
      <w:r>
        <w:rPr>
          <w:rFonts w:ascii="Times New Roman" w:hAnsi="Times New Roman"/>
          <w:sz w:val="20"/>
          <w:u w:val="single"/>
        </w:rPr>
        <w:t>Original Stockholders Agreement</w:t>
      </w:r>
      <w:r>
        <w:rPr>
          <w:rFonts w:ascii="Times New Roman" w:hAnsi="Times New Roman"/>
          <w:sz w:val="20"/>
        </w:rPr>
        <w:t>”) with respect to their respective investments in us, with other investors joining the Original Stockholders Agreement thereafter from time to time upon their investment in us. In connection with the consummation of the initial public offering, we amended and restated the Original Stockholders Agreement (as amended and restated and as amended by subsequent amendments on June 6, 2025 and November 13, 2025, the “</w:t>
      </w:r>
      <w:r>
        <w:rPr>
          <w:rFonts w:ascii="Times New Roman" w:hAnsi="Times New Roman"/>
          <w:sz w:val="20"/>
          <w:u w:val="single"/>
        </w:rPr>
        <w:t>A&amp;R Stockholders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the A&amp;R Stockholders Agreement, each of the Sponsor Affiliates has the right to designate: (i) four of our directors if such Sponsor Affiliate retains at least 50% of its percentage ownership in us as of the effective date of the A&amp;R Stockholders Agreement (“</w:t>
      </w:r>
      <w:r>
        <w:rPr>
          <w:rFonts w:ascii="Times New Roman" w:hAnsi="Times New Roman"/>
          <w:sz w:val="20"/>
          <w:u w:val="single"/>
        </w:rPr>
        <w:t>Original Ownership Percentage</w:t>
      </w:r>
      <w:r>
        <w:rPr>
          <w:rFonts w:ascii="Times New Roman" w:hAnsi="Times New Roman"/>
          <w:sz w:val="20"/>
        </w:rPr>
        <w:t xml:space="preserve">”), (ii) three directors if it retains at least 25% but less than 50% of its Original Ownership Percentage, (iii) two directors if it retains at least 10% but less than 25% of its Original Ownership Percentage and (iv) one director if it owns at least 3% of the issued and outstanding common stock on a fully diluted basis but less than 10% of its Original Ownership Percentage, in each case as of the date of determination.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initial public offering, Whitney designated Mr. Williams and Steven Rodgers as members of our Board of Directors pursuant to such right. Mr. Williams resigned from our Board of Directors in February 2026, while Mr. Rodgers continues to serve as a member of our Board of Directors. In connection with Mr. Williams’s resignation, Whitney waived the director designation rights to which it was previously entitled under the A&amp;R Stockholders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A&amp;R Stockholders Agreement, our executive officers may only transfer shares of our common stock to the extent that such transfer (a) is pre-approved by the Compensation Committee of our Board of Directors and (b) would not result in such executive officer being in non-compliance with our Stock Ownership Guidelines. </w:t>
      </w:r>
    </w:p>
    <w:p>
      <w:pPr>
        <w:pStyle w:val="TextBody"/>
        <w:bidi w:val="0"/>
        <w:spacing w:before="240" w:after="0"/>
        <w:jc w:val="left"/>
        <w:rPr>
          <w:rFonts w:ascii="Times New Roman" w:hAnsi="Times New Roman"/>
          <w:sz w:val="20"/>
        </w:rPr>
      </w:pPr>
      <w:r>
        <w:rPr>
          <w:rFonts w:ascii="Times New Roman" w:hAnsi="Times New Roman"/>
          <w:sz w:val="20"/>
        </w:rPr>
        <w:t xml:space="preserve">The transfer of shares of our common stock by each of Mr. Windley, Mr. Shaner, Mr. Reisz and Mr. Strange in this offering has been pre-approved in accordance with the terms of the A&amp;R Stockholders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Concurrently with the Original Stockholders Agreement, we entered into a registration rights agreement (the “</w:t>
      </w:r>
      <w:r>
        <w:rPr>
          <w:rFonts w:ascii="Times New Roman" w:hAnsi="Times New Roman"/>
          <w:sz w:val="20"/>
          <w:u w:val="single"/>
        </w:rPr>
        <w:t>Original Registration Rights Agreement</w:t>
      </w:r>
      <w:r>
        <w:rPr>
          <w:rFonts w:ascii="Times New Roman" w:hAnsi="Times New Roman"/>
          <w:sz w:val="20"/>
        </w:rPr>
        <w:t>”) with the Sponsor Affiliates and certain of our directors and executive officers, including each of the Selling Stockholders, and certain other investors. In connection with the consummation of the initial public offering, we amended and restated the Original Registration Rights Agreement (as so amended and restated, the “</w:t>
      </w:r>
      <w:r>
        <w:rPr>
          <w:rFonts w:ascii="Times New Roman" w:hAnsi="Times New Roman"/>
          <w:sz w:val="20"/>
          <w:u w:val="single"/>
        </w:rPr>
        <w:t>A&amp;R Registration Rights Agreement</w:t>
      </w:r>
      <w:r>
        <w:rPr>
          <w:rFonts w:ascii="Times New Roman" w:hAnsi="Times New Roman"/>
          <w:sz w:val="20"/>
        </w:rPr>
        <w:t xml:space="preserve">”). Pursuant to the A&amp;R Registration Rights Agreement, certain Sponsor Affiliates who hold more than 2% of registrable securities have the right to require us to file a registration statement with the SEC for the sale of our common stock, subject to certain exceptions. Such Sponsor Affiliates have the right to an unlimited number of such “demand” registrations. We are obligated to use our reasonable best efforts to file a resale “shelf” registration with the SEC and to take steps to keep such resale shelf registration effective until the earlier of (i) the date on which all the registrable securities included in such “shelf” registration have been sold, (ii) the date as of which there are no longer in existence any registrable securities covered by the shelf registration and (iii) an earlier date agreed to in writing by the majority holders of the Sponsor Affiliates. We are also required to facilitate “takedown” offerings from the shelf upon demand by the Sponsor Affiliates. All holders of registrable securities party to the A&amp;R Registration Rights Agreement are entitled to certain “piggyback” registration rights in subsequent offerings. Such holders are entitled to notice of a registered offering and to have their shares included on a pro rata basis. The A&amp;R Registration Rights Agreement also provides that we will pay certain expenses of the holders party to the A&amp;R Registration Rights Agreement relating to the registrations and indemnify them against certain liabilities which may arise under the Securities Act and other federal or state securities laws. Accordingly, we will bear the costs associated with the registration, offering and sale of shares by the Selling Stockholders in this offering, other than underwriting discounts and commissions, and we will indemnify the Selling Stockholders against certain liabilities arising under applicable securities laws in connection with the offering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321536_7"/>
      <w:bookmarkEnd w:id="9"/>
      <w:r>
        <w:rPr>
          <w:rFonts w:ascii="Times New Roman" w:hAnsi="Times New Roman"/>
          <w:b/>
          <w:sz w:val="20"/>
        </w:rPr>
        <w:t xml:space="preserve">MATERIAL U.S. FEDERAL INCOME TAX CONSIDERATIONS FOR NON-U.S. HOLDERS OF COMMON STOCK </w:t>
      </w:r>
    </w:p>
    <w:p>
      <w:pPr>
        <w:pStyle w:val="TextBody"/>
        <w:bidi w:val="0"/>
        <w:spacing w:before="240" w:after="0"/>
        <w:jc w:val="left"/>
        <w:rPr>
          <w:rFonts w:ascii="Times New Roman" w:hAnsi="Times New Roman"/>
          <w:sz w:val="20"/>
        </w:rPr>
      </w:pPr>
      <w:r>
        <w:rPr>
          <w:rFonts w:ascii="Times New Roman" w:hAnsi="Times New Roman"/>
          <w:sz w:val="20"/>
        </w:rPr>
        <w:t>The following is a general discussion of the material U.S. federal income tax consequences to Non-U.S. Holders (as defined below) of the purchase, ownership and disposition of our common stock acquired pursuant to this offering. This discussion does not provide a complete analysis of all potential U.S. federal income tax considerations relating thereto. This description is based on the Internal Revenue Code of 1986, as amended (the “</w:t>
      </w:r>
      <w:r>
        <w:rPr>
          <w:rFonts w:ascii="Times New Roman" w:hAnsi="Times New Roman"/>
          <w:sz w:val="20"/>
          <w:u w:val="single"/>
        </w:rPr>
        <w:t>Code</w:t>
      </w:r>
      <w:r>
        <w:rPr>
          <w:rFonts w:ascii="Times New Roman" w:hAnsi="Times New Roman"/>
          <w:sz w:val="20"/>
        </w:rPr>
        <w:t xml:space="preserve">”) and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below) who hold shares of our common stock as “capital assets” within the meaning of Section 1221 of the Code (generally, property held for investment). Moreover, this discussion is for general information only and does not address all of the tax consequences that may be relevant to a Non-U.S. Holder in light of a Non-U.S. Holder’s particular circumstances, nor does it discuss special tax provisions, which may apply to a Non-U.S. Holder if a Non-U.S. Holder is subject to special treatment under U.S. federal income tax laws, such as for certain financial institutions or financial services entities, insurance companies, tax-exempt entities, tax-qualified retirement plans, persons subject to special tax accounting rules under Section 451(b) of the Code, “qualified foreign pension funds” (and entities all of the interests of which are held by qualified foreign pension funds), dealers in securities, entities that are treated as partnerships or other pass-through entities for U.S. federal income tax purposes (and partners or beneficial owners therein), foreign branches, “controlled foreign corporations,” “passive foreign investment companies,” former U.S. citizens or long-term residents, corporations that accumulate earnings to avoid U.S. federal income tax, persons deemed to sell common stock under the constructive sale provisions of the Code and persons that hold common stock as part of a straddle, hedge, conversion transaction, or other integrated investment. In addition, this summary does not address the alternative minimum tax, any state, local or non-U.S. taxes or any other U.S. federal tax laws, such as estate and gift tax laws. </w:t>
      </w:r>
    </w:p>
    <w:p>
      <w:pPr>
        <w:pStyle w:val="TextBody"/>
        <w:bidi w:val="0"/>
        <w:spacing w:before="240" w:after="0"/>
        <w:jc w:val="left"/>
        <w:rPr>
          <w:rFonts w:ascii="Times New Roman" w:hAnsi="Times New Roman"/>
          <w:sz w:val="20"/>
        </w:rPr>
      </w:pPr>
      <w:r>
        <w:rPr>
          <w:rFonts w:ascii="Times New Roman" w:hAnsi="Times New Roman"/>
          <w:sz w:val="20"/>
        </w:rPr>
        <w:t>Non-U.S. Holders are urged to consult their own tax advisors concerning the U.S. federal income tax consequences of purchasing, owning and disposing of our common stock, as well as the application of any other U.S. federal, state, local, non-U.S. tax laws and income tax treaties. As used in this section, a “</w:t>
      </w:r>
      <w:r>
        <w:rPr>
          <w:rFonts w:ascii="Times New Roman" w:hAnsi="Times New Roman"/>
          <w:sz w:val="20"/>
          <w:u w:val="single"/>
        </w:rPr>
        <w:t>Non-U.S. Holder</w:t>
      </w:r>
      <w:r>
        <w:rPr>
          <w:rFonts w:ascii="Times New Roman" w:hAnsi="Times New Roman"/>
          <w:sz w:val="20"/>
        </w:rPr>
        <w:t xml:space="preserve">” is a beneficial owner of our common stock (other than a partnership or any other entity treated as a pass-through entity for U.S. federal income tax purposes) that is not, and is not treated for U.S. federal income tax purposes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that is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“United States persons” (within the meaning of Section 7701(a)(30) of the Code) have the authority to control all substantial decisions of the trust or (ii) it has a valid election in effect under applicable U.S. Treasury regulations to be treated as a domestic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an individual, you generally will be treated as a resident of the United States if you are a lawful permanent resident of the United States (e.g., a green card holder) and you may be deemed to be a resident of the United States, as opposed to a nonresident alien, by virtue of being present in the United States for at least 31 days in the relevant calendar year and for an aggregate of at least 183 days during a three-year period ending in and including the relevant calendar year, subject to certain exceptions. For these purposes, all the days present in the United States in the relevant year, one-third of the days present in the immediately preceding year, and one-sixth of the days present in the second preceding year are counted. Such an individual is urged to consult his or her own tax advisor regarding the U.S. federal income tax consequences of the purchase, ownership or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treated as a pass-through entity for U.S. federal income tax purposes is a beneficial owner of our common stock, the tax treatment of a partner in the partnership or an owner of the other pass-through entity will depend upon the status of the partner or owner, the activities of the partnership or other pass-through entity, and certain determinations made at the partner level, which may be subject to uncertainty. Any partnership, partner in such a partnership or owner of another pass-through entity holding shares of our common stock should consult its own tax advisor as to the particular U.S. federal income tax consequences applicable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INVESTORS CONSIDERING THE PURCHASE OF OUR COMMON STOCK ARE URGED TO CONSULT THEIR OWN TAX ADVISORS REGARDING THE APPLICATION OF U.S. FEDERAL INCOME TAX LAWS TO THEIR PARTICULAR SITUATIONS AND THE CONSEQUENCES OF OTHER U.S. FEDERAL, STATE, LOCAL AND NON-U.S. TAX LAWS, AND ANY APPLICABLE INCOME TAX TREATIES.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on Common Stock </w:t>
      </w:r>
    </w:p>
    <w:p>
      <w:pPr>
        <w:pStyle w:val="TextBody"/>
        <w:bidi w:val="0"/>
        <w:spacing w:before="120" w:after="0"/>
        <w:jc w:val="left"/>
        <w:rPr>
          <w:rFonts w:ascii="Times New Roman" w:hAnsi="Times New Roman"/>
          <w:sz w:val="20"/>
        </w:rPr>
      </w:pPr>
      <w:r>
        <w:rPr>
          <w:rFonts w:ascii="Times New Roman" w:hAnsi="Times New Roman"/>
          <w:sz w:val="20"/>
        </w:rPr>
        <w:t xml:space="preserve">Distributions, if any, made on our common stock to a Non-U.S. Holder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first applied against and reduces, but not below zero, a Non-U.S. Holder’s adjusted tax basis in its shares of our common stock. Any remaining excess will be treated as gain realized on the sale or other taxable disposition of our common stock. See “—Dispositions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regarding effectively connected income, any dividend paid to a Non-U.S. Holder on our common stock will generally be subject to U.S. federal withholding tax at a 30% rate of the gross amount of the dividend or at a reduced rate, under the terms of an applicable income tax treaty. A Non-U.S. Holder is urged to consult its own tax advisor regarding its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valid IRS Form W-8BEN or IRS Form W-8BEN-E (or other applicable form or documentation), as applicable. If the Non-U.S. Holder holds our common stock through a financial institution or other agent acting on the Non-U.S. Holder’s behalf, the Non-U.S. Holder will be required to provide appropriate documentation to such agent. Even if our current and accumulated earnings and profits are less than the amount of the distribution, the applicable withholding agent may elect to treat the entire distribution as a dividend for U.S. federal withholding tax purposes. A Non-U.S. Holder that does not timely furnish the required documentation, but that qualifies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a Non-U.S. Holder that are effectively connected with a U.S. trade or business conducted by the Non-U.S. Holder and, if required by an applicable income tax treaty, are attributable to a permanent establishment or a fixed base maintained by the Non-U.S. Holder in the United States, are generally exempt from the U.S. federal withholding tax described above. To obtain this exemption, a Non-U.S. Holder must provide us with a valid IRS Form W-8ECI properly certifying such exemption. Such effectively connected dividends, although not subject to U.S. federal withholding tax (provided certain certification and disclosure requirements are satisfied), are taxed at the same graduated rates applicable to U.S. persons, net of certain deductions and credits. In addition to a Non-U.S. Holder being subject to taxation at the regular graduated rates on effectively connected dividends as described above, such effectively connected dividends, as adjusted for certain items, received by corporate Non-U.S. Holders may also be subject to a branch profits tax at a rate of 30%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subject to the discussions below under “—Backup Withholding and Information Reporting” and “—Other Withholding Taxes.” </w:t>
      </w:r>
    </w:p>
    <w:p>
      <w:pPr>
        <w:pStyle w:val="TextBody"/>
        <w:bidi w:val="0"/>
        <w:spacing w:before="360" w:after="0"/>
        <w:jc w:val="left"/>
        <w:rPr>
          <w:rFonts w:ascii="Times New Roman" w:hAnsi="Times New Roman"/>
          <w:b/>
          <w:sz w:val="20"/>
        </w:rPr>
      </w:pPr>
      <w:r>
        <w:rPr>
          <w:rFonts w:ascii="Times New Roman" w:hAnsi="Times New Roman"/>
          <w:b/>
          <w:sz w:val="20"/>
        </w:rPr>
        <w:t xml:space="preserve">Dispositions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on backup withholding and other withholding tax requirements, gain realized by a Non-U.S. Holder on a sale, exchange or other taxable disposition of our common stock generally will not be subject to U.S. federal income or withholding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by the Non-U.S. Holder of a U.S. trade or business (and, if required by an applicable income tax treaty, is attributable to a permanent establishment or a fixed base maintained by the Non-U.S. Holder in the United States) (in which case the special rules described below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or more days in the taxable year of such disposition and certain other conditions are met (in which case the gain would be subject to U.S. federal income tax at a rate of 30%, or such reduced rate as may be specified by an applicable income tax treaty, which may be offset by certain U.S. source capital losses of the Non-U.S. Holder, provided the Non-U.S. Holder has timely filed U.S. federal income tax returns with respect to such losses);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we are, or become, a “United States real property holding corporation” (a “</w:t>
            </w:r>
            <w:r>
              <w:rPr>
                <w:rFonts w:ascii="Times New Roman" w:hAnsi="Times New Roman"/>
                <w:sz w:val="20"/>
                <w:u w:val="single"/>
              </w:rPr>
              <w:t>USRPHC</w:t>
            </w:r>
            <w:r>
              <w:rPr>
                <w:rFonts w:ascii="Times New Roman" w:hAnsi="Times New Roman"/>
                <w:sz w:val="20"/>
              </w:rPr>
              <w:t xml:space="preserve">”), for U.S. federal income tax purposes at any time during the shorter of the five-year period ending on the date of disposition of our common stock and the Non-U.S. Holder’s holding period for our common stock (as further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dispositions of stock in a USRPHC does not apply to a Non-U.S. Holder whose holdings, actual and constructive, amount to 5% or less of our common stock at all times during the shorter of the five-year period ending on the date of disposition of our common stock and the Non-U.S. Holder’s holding period for our common stock, provided that our common stock is regularly traded on an established securities market. In addition, if our common stock continues to be regularly traded on an established securities market in the United States, no U.S. withholding tax will apply on the proceeds of a sale or other taxable disposition of our common stock by a Non-U.S. Holder owning 5% or more, actually or constructively, of our common stock, even if we are a USRPHC, although in that case such holder would be required to file a U.S. tax return and pay tax on the gain realized in such disposition. No assurance can be provided that our common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Non-U.S. Holders are urged to consult their own tax advisors about the consequences that could result if we are, or become, a USRPHC. </w:t>
      </w:r>
    </w:p>
    <w:p>
      <w:pPr>
        <w:pStyle w:val="TextBody"/>
        <w:bidi w:val="0"/>
        <w:spacing w:before="240" w:after="0"/>
        <w:jc w:val="left"/>
        <w:rPr>
          <w:rFonts w:ascii="Times New Roman" w:hAnsi="Times New Roman"/>
          <w:sz w:val="20"/>
        </w:rPr>
      </w:pPr>
      <w:r>
        <w:rPr>
          <w:rFonts w:ascii="Times New Roman" w:hAnsi="Times New Roman"/>
          <w:sz w:val="20"/>
        </w:rPr>
        <w:t xml:space="preserve">If any gain from the sale, exchange or other taxable disposition of our common stock is effectively connected with a U.S. trade or business conducted by a Non-U.S. Holder (and, if required by an applicable income tax treaty, is attributable to a permanent establishment or fixed base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also be subject to a “branch profits tax” at a rate of 30% or such lower rate as may be specified by an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Any dividends or other distributions that are paid to a Non-U.S. Holder must be reported annually to the IRS and to the Non-U.S. Holder. Copies of these information returns also may be made available to the tax authorities of the country in which the Non-U.S. Holder resides or is established under the provisions of various treaties or agreements for the exchange of information. Dividends paid on our common stock and the gross proceeds from a taxable disposition of our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 Holder’s circumstances will generally satisfy the certification requirements necessary to avoid the additional information reporting and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so withheld under the backup withholding rules may be refunded by the IRS or credited against the Non-U.S. Holder’s U.S. federal income tax liability,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Other 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Foreign Account Tax Compliance Act, commonly referred to as “FATCA” impose a withholding tax (separate and apart from, but without duplication of, the withholding tax described above) at a rate of 30% on payments of U.S.-source dividends (including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imposed by FATCA applies to gross proceeds from the sale or other taxable disposition of U.S. corporate stock (including our common stock) unless excepted by the U.S. Treasury, and under proposed U.S. Treasury regulations, no withholding would apply to such gross proceeds. The preamble to the proposed U.S. Treasury regulations specifies that taxpayers (including withholding agents) are permitted to rely on the proposed U.S. Treasury regulations pending finalization. An intergovernmental agreement between the United States and an applicable non-U.S. country may modify these requirements. Accordingly, the entity through which our common stock is held will affect the determination of whether such withholding is required. If FATCA withholding is imposed, a beneficial owner that is not a foreign financial institution generally will be entitled to a refund of any amounts withheld by filing a U.S. federal income tax return containing the required information (which may entail a significant administrative burden). Non-U.S. Holders are urged to consult their own tax advisors regarding the effects of FATCA on their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PRECEDING DISCUSSION OF U.S. FEDERAL INCOME TAX CONSIDERATIONS IS FOR GENERAL INFORMATION ONLY. IT IS NOT TAX ADVICE. EACH PROSPECTIVE INVESTOR IS URGED TO CONSULT ITS OWN TAX ADVISOR REGARDING THE PARTICULAR U.S. FEDERAL, STATE, LOCAL AND NON-U.S. TAX CONSEQUENCES OF PURCHASING, OWNING AND DISPOSING OF OUR COMMON STOCK, INCLUDING THE CONSEQUENCES OF ANY PROPOSED CHANGE IN APPLICABLE LAWS AND INCOME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321536_8"/>
      <w:bookmarkEnd w:id="10"/>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are offering the shares of common stock described in this prospectus supplement through the underwriter. We and the Selling Stockholders have entered into an underwriting agreement with the underwriter. Subject to the terms and conditions of the underwriting agreement, the Selling Stockholders have agreed to sell to the underwriter, and the underwriter has agreed to purchase 15,000,000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is committed to purchase all the shares of common stock offered by this prospectus supplement if it purchases any shares. The underwriter is offering the shares, subject to prior sale, when, as and if issued to and accepted by it, subject to approval of legal matters by its counsel, including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 Sales of any shares made outside of the United States may be made by affiliates of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an option to buy up to 2,250,000 additional shares of common stock from certain of the Whitney Selling Stockholders. The underwriter has 30 days from the date of this prospectus supplement to exercise this option to purchase additional shares. If any additional shares of common stock are purchased, the underwriter will offer the additional shares on the same terms as those on which the shares are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is purchasing the shares of common stock from the Selling Stockholders at a price of $    per share (representing $    of proceeds to the Selling Stockholders, before expenses). The underwriter may receive from purchasers of the shares normal brokerage commissions in amounts agreed with such purchasers. The underwriter proposes to offer the shares of common stock for sale from time to time in one or more transactions on the Nasdaq, in the over-the-counter market, through negotiated transactions or otherwise at market prices prevailing at the time of sale, at prices related to prevailing market prices, at a fixed price or prices, which may be changed, or at negotiated prices, subject to receipt and acceptance by it and subject to its right to reject any order in whole or in part. The underwriter may effect such transactions by selling shares of common stock to or through dealers, and such dealers may receive compensation in the form of discounts, concessions or commissions from the underwriter or purchasers of shares of common stock for whom they may act as agents or to whom they may sell as principal. The difference between the price at which the underwriter purchases shares and the price at which the underwriter resells such shares may be deemed underwriting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of this offering, including registration, listing fees, printing fees and legal and accounting expenses, but excluding the underwriting discounts and commissions, will be approximately $  .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in electronic format may be made available on the web sites maintained by the underwriter and in connection with the offering, the underwriter or securities dealers may distribute prospectuses by electronic means, such as e-mail.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we will not, directly or indirectly (i) offer for sale, sell, pledge or otherwise dispose of (or enter into any transaction or device that is designed to, or could be expected to, result in the disposition by any person at any time in the future of) any shares of common stock or securities convertible into or exercisable or exchangeable for common stock (other than the shares of common stock issued pursuant to employee benefit plans, qualified stock option plans or other employee compensation plans that currently exist or pursuant to currently outstanding options, warrants or rights not issued under one of those plans), or sell or grant options, restricted stock units or performance stock units, rights or warrants with respect to any shares of common stock or securities convertible into or exchangeable for common stock (other than the grant of options, restricted stock units or performance stock units pursuant to employee benefit plans, qualified stock option plans or other employee compensation plans that currently exist), (ii) enter into any swap or other derivative transaction that transfers all or a portion of the economic benefits or risks of ownership of any shares of common stock or any such other securities (regardless of whether any of the transactions described in (i) or (ii) are to be settled by the delivery of shares of common stock or such other securities, in cash or otherwise), (iii) file, confidentially submit or cause to be confidentially submitted or filed a registration statement, including any amendments thereto, with respect to the registration of any shares of common stock or securities convertible, exercisable or exchangeable into common stock or any other of our securities (other than any registration statement on Form S-8), or (iv) publicly disclose the intention to do any of the above, in each case for a period of 30 days after the date of this prospectus supplement without the prior written consent of the underwriter, other than the shares of our common stock to be sold in this offering; provided, however, that the foregoing restrictions do not apply to the issuance by us of shares of our common stock or securities convertible into shares of our common stock in connection with an acquisition, joint venture, strategic investment or any other transaction that includes a bona fide commercial relationship with us or any of our subsidiaries (provided that (i) the aggregate number of shares of our common stock issued pursuant to such issuance shall in no event exceed 10% of the total number of shares of our common stock outstanding as of the date hereof and (ii) each recipient of such shares of our common stock shall execute and deliver to the underwriter a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Our directors and executive officers and certain of our stockholders, including the Selling Stockholders (such persons, the “</w:t>
      </w:r>
      <w:r>
        <w:rPr>
          <w:rFonts w:ascii="Times New Roman" w:hAnsi="Times New Roman"/>
          <w:sz w:val="20"/>
          <w:u w:val="single"/>
        </w:rPr>
        <w:t>lock-up parties</w:t>
      </w:r>
      <w:r>
        <w:rPr>
          <w:rFonts w:ascii="Times New Roman" w:hAnsi="Times New Roman"/>
          <w:sz w:val="20"/>
        </w:rPr>
        <w:t>”) have entered into lock up agreements with the underwriter prior to the commencement of this offering pursuant to which each lock-up party, with limited exceptions, for a period of 30 days after the date of this prospectus supplement (such period, the “</w:t>
      </w:r>
      <w:r>
        <w:rPr>
          <w:rFonts w:ascii="Times New Roman" w:hAnsi="Times New Roman"/>
          <w:sz w:val="20"/>
          <w:u w:val="single"/>
        </w:rPr>
        <w:t>restricted period</w:t>
      </w:r>
      <w:r>
        <w:rPr>
          <w:rFonts w:ascii="Times New Roman" w:hAnsi="Times New Roman"/>
          <w:sz w:val="20"/>
        </w:rPr>
        <w:t>”), may not (and may not cause any of their direct or indirect affiliates to), without the prior written consent of the underwriter, directly or indirectly (i) offer for sale, sell, pledge, lend or otherwise dispose of (or enter into any transaction or device that is designed to, or could be expected to, result in the disposition by any person at any time in the future of), any shares of our common stock (including, without limitation, shares of common stock that may be deemed to be beneficially owned by such lock-up parties in accordance with the rules and regulations of the SEC and securities which may be issued upon exercise of a stock option or warrant) or securities convertible or exercisable or exchangeable for shares of common stock, other than any common stock sold by a lock-up party pursuant to the underwriting agreement, if applicable (collectively, the “</w:t>
      </w:r>
      <w:r>
        <w:rPr>
          <w:rFonts w:ascii="Times New Roman" w:hAnsi="Times New Roman"/>
          <w:sz w:val="20"/>
          <w:u w:val="single"/>
        </w:rPr>
        <w:t>lock-up securities</w:t>
      </w:r>
      <w:r>
        <w:rPr>
          <w:rFonts w:ascii="Times New Roman" w:hAnsi="Times New Roman"/>
          <w:sz w:val="20"/>
        </w:rPr>
        <w:t xml:space="preserve">”), (ii) enter into any swap or other derivatives transaction that transfers to another, in whole or in part, any of the economic benefits or risks of ownership of shares of common stock, whether any such transaction described in (i) or (ii) above is to be settled by delivery of lock-up securities, in cash or otherwise, (iii) make any demand for or exercise any right or cause to be confidentially submitted or filed a registration statement, including any amendments thereto, with respect to the registration of any shares of common stock or securities convertible into or exercisable or exchangeable for common stock or any other of our securities, or (iv) publicly disclose the intention to do any of the foregoing during the restricted period. Such persons or entities have further acknowledged that these undertakings preclude them from engaging in any hedging or other transactions designed to or which reasonably could be expected to lead to or result in, a sale or disposition of common stock or other of our securities, even if such common stock or other securities would be disposed of by someone other than the lock-up party, including, without limitation, any short sale or any purchase, sale or grant of any right (including without limitation any put or call option, forward, swap or any other derivative transaction or instrument) with respect to any common stock, or any other of our securities that includes, relates to, or derives any significant part of its value from common stock or any other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paragraph above relating to our directors and executive officers and certain of our stockholders do not apply to: (a) transactions relating to shares of common stock or other securities acquired in the open market after the completion of this offering; (b) bona fide gifts or other dispositions of shares of any class of our capital stock or securities convertible into common stock, in each case that are made exclusively between and among the lock-up party or members of their family (including to any trust, limited partnership, limited liability company or other entity for the direct benefit of the lock-up party or any members of their family) or affiliates of the lock-up party, including its subsidiaries, partners (if a partnership) or members (if a limited liability company); (c) transfers by will or intestacy; (d) transfers to any trust for the direct or indirect benefit of the lock-up party or their immediate family, or if the stockholder is a trust, to a trustor or beneficiary of the trust or to the estate of a beneficiary of such trust; (e) transfers to a partnership, limited liability company or other entity of which the lock-up party and the immediate family of the lock-up party are the legal and beneficial owner of all of the outstanding equity securities or similar interests; (f) transfers to a partnership, limited liability company or other entity of which a nominee or custodian is a person or entity to whom a disposition or transfer would be permissible under (b) through (e) above; (g) transfers if the stockholder is a corporation, partnership, limited liability company, trust or other business entity, (A) to another corporation, partnership, limited liability company, trust or other business entity that is an affiliate (as defined in Rule 405 promulgated under the Securities Act) of the stockholder, or to any investment fund or other entity controlling, controlled by, managing or managed by or under common control with the stockholder or affiliates of the stockholder (including where the stockholder is a partnership, to its general partner or a successor partnership or fund, or any other funds managed by such partnership), or (B) as part of a distribution to members or stockholders of the stockholder; (h) transfers to partners, members, stockholders or other equityholders of the stockholder, any direct or indirect partner, member, stockholder or other equityholder of such transferee until the lock-up securities come to be held by a natural person; (i) transfers by operation of law or pursuant to an order of a court (including a qualified domestic order, divorce settlement, divorce decree or separation agreement) or regulatory agency; (j) transfers to us from an employee upon death, disability or termination of employment, in each case, of such employee; (k) transfers to us in connection with the vesting, settlement, or exercise of restricted stock units, performance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performance stock units, options, warrants or rights, provided that any such shares of common stock received upon such exercise, vesting or settlement are subject to the terms of the lock-up agreement, and provided further that any such restricted stock units, performance stock units, options, warrants or rights are held by the lock-up party pursuant to an agreement or equity awards granted under a stock incentive plan or other equity award plan described in this prospectus supplement or the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incorporated by reference; (l) transfers pursuant to a bona fide third-party tender offer, merger, consolidation or other similar transaction that is approved by the Board of Directors and made to all holders of our capital stock involving a change of control; provided that in the event that such tender offer, merger, consolidation or other similar transaction is not completed, the lock-up securities remain subject to the provisions of the lock-up agreement; (m) the exercise of outstanding options, settlement of restricted stock units, performance stock units or other equity awards or exercise of warrants pursuant to plans described in this prospectus supplement or the documents incorporated by reference; provided that any lock-up securities received upon such exercise, vesting or settlement are subject to the terms of the lock-up agreement; (n) the conversion of outstanding preferred stock, warrants to acquire preferred stock or convertible securities into shares of common stock or warrants to acquire shares of common stock; provided that any such shares of common stock or warrants received upon such conversion are subject to the terms of the lock-up agreement; (o) any pledge, charge, hypothecation or other granting of a security interest in lock-up securities by the Bain Funds or Whitney Funds (each, as defined below) to one or more banks, financial or other lending institutions (“</w:t>
      </w:r>
      <w:r>
        <w:rPr>
          <w:rFonts w:ascii="Times New Roman" w:hAnsi="Times New Roman"/>
          <w:sz w:val="20"/>
          <w:u w:val="single"/>
        </w:rPr>
        <w:t>Lenders</w:t>
      </w:r>
      <w:r>
        <w:rPr>
          <w:rFonts w:ascii="Times New Roman" w:hAnsi="Times New Roman"/>
          <w:sz w:val="20"/>
        </w:rPr>
        <w:t>”) as collateral or security for or in connection with any margin loan or other loans, advances or extensions of credit entered into by the lock-up party or any of its direct or indirect subsidiaries and any transfers of such lock-up securities or such other securities to the applicable Lender(s) or other third parties upon or following foreclosure upon or enforcement of such lock-up securities or such securities in accordance with the terms of the documentation governing any margin loan or other loan, advance, or extension of credit (including, without limitation, pursuant to any agreement or arrangement existing as of the date hereof); provided that with respect to any pledge, charge, hypothecation or other granting of a security interest set forth above after the execution of this agreement, the applicable Lender(s) is informed of the existence and contents of this agreement before entering into any margin loan or other loans, advances or extensions of credit; (p) transfers by entities affiliated with Bain (collectively, the “</w:t>
      </w:r>
      <w:r>
        <w:rPr>
          <w:rFonts w:ascii="Times New Roman" w:hAnsi="Times New Roman"/>
          <w:sz w:val="20"/>
          <w:u w:val="single"/>
        </w:rPr>
        <w:t>Bain Funds</w:t>
      </w:r>
      <w:r>
        <w:rPr>
          <w:rFonts w:ascii="Times New Roman" w:hAnsi="Times New Roman"/>
          <w:sz w:val="20"/>
        </w:rPr>
        <w:t>”) on or prior to the effective date of this registration statement by bona fide gift to any charitable organizations, either directly or indirectly (including through any related distributions or dividends to the direct or indirect equity holders of the Bain Funds or to managing directors of Bain Capital Investors, LLC, in each case as necessary to facilitate any such bona fide gifts); (q) transfers by entities affiliated with J.H. Whitney (collectively, the “</w:t>
      </w:r>
      <w:r>
        <w:rPr>
          <w:rFonts w:ascii="Times New Roman" w:hAnsi="Times New Roman"/>
          <w:sz w:val="20"/>
          <w:u w:val="single"/>
        </w:rPr>
        <w:t>Whitney Funds</w:t>
      </w:r>
      <w:r>
        <w:rPr>
          <w:rFonts w:ascii="Times New Roman" w:hAnsi="Times New Roman"/>
          <w:sz w:val="20"/>
        </w:rPr>
        <w:t>”) on or prior to the effective date of this registration statement by bona fide gift to any charitable organizations, either directly or indirectly (including through any related distributions or dividends to the direct or indirect equity holders of the Whitney Funds or to managing directors of J.H. Whitney Capital Partners, LLC, in each case as necessary to facilitate any such bona fide gifts); or (r) the establishment of any contract, instruction or plan that satisfies all of the requirements of Rule 10b5-1 (a “</w:t>
      </w:r>
      <w:r>
        <w:rPr>
          <w:rFonts w:ascii="Times New Roman" w:hAnsi="Times New Roman"/>
          <w:sz w:val="20"/>
          <w:u w:val="single"/>
        </w:rPr>
        <w:t>Rule 10b5-1 Plan</w:t>
      </w:r>
      <w:r>
        <w:rPr>
          <w:rFonts w:ascii="Times New Roman" w:hAnsi="Times New Roman"/>
          <w:sz w:val="20"/>
        </w:rPr>
        <w:t xml:space="preserve">”) under the Exchange Act, except that no sales of common stock or securities convertible into, or exchangeable or exercisable for, common stock, may be made pursuant to a Rule 10b5-1 Plan prior to the expiration of the restricted period (as may be extended) and neither the lock-up party nor we are required to report the establishment of such Rule 10b5-1 Plan in any public report or filing with the Securities and Exchange Commission under the Exchange Act during the restricted period, except as required by law or regulation, provided that to the extent such filing under the Exchange Act or other public announcement is required by law or regulation, such filing or announcement shall include a statement to the effect that no transfers may be made pursuant to such Rule 10b5-1 Plan during the restricted period and neither the lock-up party nor we otherwise voluntarily effects any such public filing or report regarding such Rule 10b5-1 Plan except as permitted by (r); provided that: (i) in the case of (b), (c), (d), (e), (f), (g), (h), (i) and (o), the transfer does not involve a disposition for value and each donee, devisee, transferee or distributee agrees to be bound by the terms of the lock-up agreement to the same extent as if it were a party to the lock-up agreement; (ii) in the case of (c), (d), (e), (f), (g) and (k) that each donee, devisee, transferee or distributee is not required by law (including without limitation the disclosure requirements of the Securities Act and the Exchange Act) to make, and agrees to not voluntarily make, any filing or public announcement of the transfer or disposition prior to the expiration of the restricted period; in the case of (b), (h) and (i) that no public filing, report or announcement is voluntarily made and if any filing under Section 16(a) of the Exchange Act, or other public filing, report or announcement reporting a reduction in beneficial ownership of shares of common stock in connection with such transfer or distribution is legally required during the restricted period, such filing, report or announcement clearly indicates in the footnotes thereto the nature and conditions of such transfer; and in the case of (b) that the lock-up party notifies the underwriter at least two business days prior to the proposed transfer or disposition.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in its sole discretion, may release the securities subject to any of the lock-up agreements with the underwriter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 against certain liabilities, including liabilities under the Securities Act of 1933.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Nasdaq under the symbol “AVAH.”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 of a greater number of shares of common stock than it is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 may close out any covered short position either by exercising its option to purchase additional shares, in whole or in part, or by purchasing shares in the open market. In making this determination, the underwriter will consider, among other things, the price of shares available for purchase in the open market compared to the price at which the underwriter may purchase shares through the option to purchase additional shares. A naked short position is more likely to be created if the underwriter is concerned that there may be downward pressure on the price of the common stock in the open market that could adversely affect investors who purchase in this offering. To the extent that the underwriter creates a naked short position, it will purchase shares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advised us that, pursuant to Regulation M of the Exchange Act, it may also engage in other activities that stabilize, maintain or otherwise affect the price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and its affiliates have provided in the past to us and our affiliates and may provide from time to time in the future certain commercial banking, financial advisory, investment banking and other services for us and such affiliates in the ordinary course of its business, for which they have received and may continue to receive customary fees and commissions. In particular, RBC Capital Markets, LLC or its affiliates is a joint lead arranger and bookrunner, under our First Lien Credit Agreement, originally dated as of March 16, 2017.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European Economic Area </w:t>
      </w:r>
    </w:p>
    <w:p>
      <w:pPr>
        <w:pStyle w:val="TextBody"/>
        <w:bidi w:val="0"/>
        <w:spacing w:before="120" w:after="0"/>
        <w:jc w:val="left"/>
        <w:rPr>
          <w:rFonts w:ascii="Times New Roman" w:hAnsi="Times New Roman"/>
          <w:sz w:val="20"/>
        </w:rPr>
      </w:pPr>
      <w:r>
        <w:rPr>
          <w:rFonts w:ascii="Times New Roman" w:hAnsi="Times New Roman"/>
          <w:sz w:val="20"/>
        </w:rPr>
        <w:t>In relation to each Member State of the European Economic Area (each a “</w:t>
      </w:r>
      <w:r>
        <w:rPr>
          <w:rFonts w:ascii="Times New Roman" w:hAnsi="Times New Roman"/>
          <w:sz w:val="20"/>
          <w:u w:val="single"/>
        </w:rPr>
        <w:t>Relevant State</w:t>
      </w:r>
      <w:r>
        <w:rPr>
          <w:rFonts w:ascii="Times New Roman" w:hAnsi="Times New Roman"/>
          <w:sz w:val="20"/>
        </w:rPr>
        <w:t xml:space="preserv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made and will not make an offer of shares which are the subject of this prospectus supplement to the public in the United Kingdom except that it may make an offer at any time: </w:t>
      </w:r>
    </w:p>
    <w:p>
      <w:pPr>
        <w:pStyle w:val="TextBody"/>
        <w:bidi w:val="0"/>
        <w:spacing w:before="120" w:after="0"/>
        <w:jc w:val="left"/>
        <w:rPr>
          <w:rFonts w:ascii="Times New Roman" w:hAnsi="Times New Roman"/>
          <w:sz w:val="20"/>
        </w:rPr>
      </w:pPr>
      <w:r>
        <w:rPr>
          <w:rFonts w:ascii="Times New Roman" w:hAnsi="Times New Roman"/>
          <w:sz w:val="20"/>
        </w:rPr>
        <w:t xml:space="preserve">(a) to any legal entity which is a qualified investor as defined in paragraph 15 of Schedule 1 to the POATRs; </w:t>
      </w:r>
    </w:p>
    <w:p>
      <w:pPr>
        <w:pStyle w:val="TextBody"/>
        <w:bidi w:val="0"/>
        <w:spacing w:before="12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in paragraph 15 of Schedule 1 to the POATRs) in the United Kingdom subject to obtaining the prior consent of the representative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(c) in any other circumstances falling within Part 1 of Schedule 1 to the POATRs;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of shares to the public in relation to the shares means the communication in any form and by any means of sufficient information on the terms of the offer and the shares to be offered so as to enable an investor to decide to buy or subscribe for the shares and the expression “POATRs” means the Public Offers and Admissions to Trading Regulations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w:t>
      </w:r>
      <w:r>
        <w:rPr>
          <w:rFonts w:ascii="Times New Roman" w:hAnsi="Times New Roman"/>
          <w:sz w:val="20"/>
          <w:u w:val="single"/>
        </w:rPr>
        <w:t>FinSA</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500 persons (other than professional clients as defined under the FinSA),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require us or any underwriter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does not constitute a disclosure document or a prospectus under Chapter 6D.2 of the Corporations Act 2001 (Cth) (the “</w:t>
            </w:r>
            <w:r>
              <w:rPr>
                <w:rFonts w:ascii="Times New Roman" w:hAnsi="Times New Roman"/>
                <w:sz w:val="20"/>
                <w:u w:val="single"/>
              </w:rPr>
              <w:t>Corporations Act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has not been, and will not be, lodged with the Australian Securities and Investments Commission (“</w:t>
            </w:r>
            <w:r>
              <w:rPr>
                <w:rFonts w:ascii="Times New Roman" w:hAnsi="Times New Roman"/>
                <w:sz w:val="20"/>
                <w:u w:val="single"/>
              </w:rPr>
              <w:t>ASIC</w:t>
            </w:r>
            <w:r>
              <w:rPr>
                <w:rFonts w:ascii="Times New Roman" w:hAnsi="Times New Roman"/>
                <w:sz w:val="20"/>
              </w:rPr>
              <w:t xml:space="preserve">”),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may only be provided in Australia to select investors who are able to demonstrate that they fall within one or more of the categories of investors, available under section 708 of the Corporations Act (“</w:t>
            </w:r>
            <w:r>
              <w:rPr>
                <w:rFonts w:ascii="Times New Roman" w:hAnsi="Times New Roman"/>
                <w:sz w:val="20"/>
                <w:u w:val="single"/>
              </w:rPr>
              <w:t>Exempt Investors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The shares have not been offered or sold and will not be offered or sold in Hong Kong, by means of any document, other than (a) to “professional investors” as defined in the Securities and Futures Ordinance (Cap. 571 of the Laws of Hong Kong) (the “</w:t>
      </w:r>
      <w:r>
        <w:rPr>
          <w:rFonts w:ascii="Times New Roman" w:hAnsi="Times New Roman"/>
          <w:sz w:val="20"/>
          <w:u w:val="single"/>
        </w:rPr>
        <w:t>SFO</w:t>
      </w:r>
      <w:r>
        <w:rPr>
          <w:rFonts w:ascii="Times New Roman" w:hAnsi="Times New Roman"/>
          <w:sz w:val="20"/>
        </w:rPr>
        <w:t>”) of Hong Kong and any rules made thereunder; or (b) in other circumstances which do not result in the document being a “prospectus” as defined in the Companies (Winding Up and Miscellaneous Provisions) Ordinance (Cap. 32 of Hong Kong) (the “</w:t>
      </w:r>
      <w:r>
        <w:rPr>
          <w:rFonts w:ascii="Times New Roman" w:hAnsi="Times New Roman"/>
          <w:sz w:val="20"/>
          <w:u w:val="single"/>
        </w:rPr>
        <w:t>CO</w:t>
      </w:r>
      <w:r>
        <w:rPr>
          <w:rFonts w:ascii="Times New Roman" w:hAnsi="Times New Roman"/>
          <w:sz w:val="20"/>
        </w:rPr>
        <w:t xml:space="preserve">”)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representative has acknowledged that this prospectus supplement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an institutional investor (as defined in Section 4A of the Securities and Futures Act (Chapter 289) of Singapore, as modified or amended from time to time (the “</w:t>
            </w:r>
            <w:r>
              <w:rPr>
                <w:rFonts w:ascii="Times New Roman" w:hAnsi="Times New Roman"/>
                <w:sz w:val="20"/>
                <w:u w:val="single"/>
              </w:rPr>
              <w:t>SFA</w:t>
            </w:r>
            <w:r>
              <w:rPr>
                <w:rFonts w:ascii="Times New Roman" w:hAnsi="Times New Roman"/>
                <w:sz w:val="20"/>
              </w:rPr>
              <w:t xml:space="preserve">”))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276(4)(c)(ii)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321536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hereby will be passed upon for us by King &amp; Spalding LLP. The underwriter is being represented by Davis Polk &amp; Wardwell LLP in connection with this offering. </w:t>
      </w:r>
    </w:p>
    <w:p>
      <w:pPr>
        <w:pStyle w:val="TextBody"/>
        <w:bidi w:val="0"/>
        <w:spacing w:before="480" w:after="0"/>
        <w:jc w:val="center"/>
        <w:rPr>
          <w:rFonts w:ascii="Times New Roman" w:hAnsi="Times New Roman"/>
          <w:b/>
          <w:sz w:val="20"/>
        </w:rPr>
      </w:pPr>
      <w:bookmarkStart w:id="12" w:name="supptx321536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January 3, 2026, and the effectiveness of our internal control over financial reporting as of January 3, 2026,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 </w:t>
      </w:r>
    </w:p>
    <w:p>
      <w:pPr>
        <w:pStyle w:val="TextBody"/>
        <w:bidi w:val="0"/>
        <w:spacing w:before="480" w:after="0"/>
        <w:jc w:val="center"/>
        <w:rPr>
          <w:rFonts w:ascii="Times New Roman" w:hAnsi="Times New Roman"/>
          <w:b/>
          <w:sz w:val="20"/>
        </w:rPr>
      </w:pPr>
      <w:bookmarkStart w:id="13" w:name="supptx321536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with respect to the common stock offered by this prospectus supplement and the accompanying prospectus. This prospectus supplement and accompanying prospectus, which constitutes part of the registration statement, does not contain all the information set forth in the registration statement and its exhibits and schedules and the documents incorporated by reference therein. Statements contained in this prospectus supplement or the accompanying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reporting requirements of the Exchange Act and are required to file annual, quarterly and other reports, proxy statements and other information with the SEC. The SEC maintains a website that contains reports, proxy and information statements, and various other information about us. The address of that website is http://www.sec.gov. You may also inspect the documents described herein at our principal executive offices, 400 Interstate North Parkway SE, Atlanta, GA, 30339, during normal business hours.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us is also available at our website at www.aveanna.com. There we make available free of charge, on or through the investor relations section of our website, annual reports on Form 10-K, quarterly reports on Form 10-Q, current reports on Form 8-K and amendments to those reports filed pursuant to Section 13(a) or 15(d) of the Exchange Act as soon as reasonably practicable after we electronically file such material with the SEC. However, the information contained on, or accessible through, our website is not a part of this prospectus supplement or the accompanying prospectus and is not incorporated by reference into this prospectus supplement or the accompanying prospectus. </w:t>
      </w:r>
    </w:p>
    <w:p>
      <w:pPr>
        <w:pStyle w:val="TextBody"/>
        <w:bidi w:val="0"/>
        <w:spacing w:before="480" w:after="0"/>
        <w:jc w:val="center"/>
        <w:rPr>
          <w:rFonts w:ascii="Times New Roman" w:hAnsi="Times New Roman"/>
          <w:b/>
          <w:sz w:val="20"/>
        </w:rPr>
      </w:pPr>
      <w:bookmarkStart w:id="14" w:name="supptx321536_12"/>
      <w:bookmarkEnd w:id="14"/>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the accompanying prospectus, which means that we can disclose important information to you by referring you to another document filed separately with the SEC. The information that we incorporate by reference is considered to be part of this prospectus supplement and the accompanying prospectus. Information that we file with the SEC in the future and incorporate by reference in this prospectus supplement and the accompanying prospectus automatically updates and supersedes previously filed information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and the accompanying prospectus the following documents filed by us with the SEC, other than any portion of any such documents that is not deemed “filed” under the Exchange Act in accordance with the Exchange Act and applicable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January 3, 2026 filed with the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quarters ended April 4, 2026 and July 4, 2026, filed with the SEC on </w:t>
            </w:r>
            <w:hyperlink r:id="rId4">
              <w:r>
                <w:rPr>
                  <w:rStyle w:val="InternetLink"/>
                  <w:rFonts w:ascii="Times New Roman" w:hAnsi="Times New Roman"/>
                  <w:sz w:val="20"/>
                </w:rPr>
                <w:t>May  14, 2026</w:t>
              </w:r>
            </w:hyperlink>
            <w:r>
              <w:rPr>
                <w:rFonts w:ascii="Times New Roman" w:hAnsi="Times New Roman"/>
                <w:sz w:val="20"/>
              </w:rPr>
              <w:t xml:space="preserve"> and </w:t>
            </w:r>
            <w:hyperlink r:id="rId5">
              <w:r>
                <w:rPr>
                  <w:rStyle w:val="InternetLink"/>
                  <w:rFonts w:ascii="Times New Roman" w:hAnsi="Times New Roman"/>
                  <w:sz w:val="20"/>
                </w:rPr>
                <w:t>August 13,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February 20, 2026</w:t>
              </w:r>
            </w:hyperlink>
            <w:r>
              <w:rPr>
                <w:rFonts w:ascii="Times New Roman" w:hAnsi="Times New Roman"/>
                <w:sz w:val="20"/>
              </w:rPr>
              <w:t xml:space="preserve">, </w:t>
            </w:r>
            <w:hyperlink r:id="rId7">
              <w:r>
                <w:rPr>
                  <w:rStyle w:val="InternetLink"/>
                  <w:rFonts w:ascii="Times New Roman" w:hAnsi="Times New Roman"/>
                  <w:sz w:val="20"/>
                </w:rPr>
                <w:t>February  27, 2026</w:t>
              </w:r>
            </w:hyperlink>
            <w:r>
              <w:rPr>
                <w:rFonts w:ascii="Times New Roman" w:hAnsi="Times New Roman"/>
                <w:sz w:val="20"/>
              </w:rPr>
              <w:t xml:space="preserve">, </w:t>
            </w:r>
            <w:hyperlink r:id="rId8">
              <w:r>
                <w:rPr>
                  <w:rStyle w:val="InternetLink"/>
                  <w:rFonts w:ascii="Times New Roman" w:hAnsi="Times New Roman"/>
                  <w:sz w:val="20"/>
                </w:rPr>
                <w:t>March  12, 2026</w:t>
              </w:r>
            </w:hyperlink>
            <w:r>
              <w:rPr>
                <w:rFonts w:ascii="Times New Roman" w:hAnsi="Times New Roman"/>
                <w:sz w:val="20"/>
              </w:rPr>
              <w:t xml:space="preserve">, </w:t>
            </w:r>
            <w:hyperlink r:id="rId9">
              <w:r>
                <w:rPr>
                  <w:rStyle w:val="InternetLink"/>
                  <w:rFonts w:ascii="Times New Roman" w:hAnsi="Times New Roman"/>
                  <w:sz w:val="20"/>
                </w:rPr>
                <w:t>May  28, 2026</w:t>
              </w:r>
            </w:hyperlink>
            <w:r>
              <w:rPr>
                <w:rFonts w:ascii="Times New Roman" w:hAnsi="Times New Roman"/>
                <w:sz w:val="20"/>
              </w:rPr>
              <w:t xml:space="preserve">, </w:t>
            </w:r>
            <w:hyperlink r:id="rId10">
              <w:r>
                <w:rPr>
                  <w:rStyle w:val="InternetLink"/>
                  <w:rFonts w:ascii="Times New Roman" w:hAnsi="Times New Roman"/>
                  <w:sz w:val="20"/>
                </w:rPr>
                <w:t>May  29, 2026</w:t>
              </w:r>
            </w:hyperlink>
            <w:r>
              <w:rPr>
                <w:rFonts w:ascii="Times New Roman" w:hAnsi="Times New Roman"/>
                <w:sz w:val="20"/>
              </w:rPr>
              <w:t xml:space="preserve">, </w:t>
            </w:r>
            <w:hyperlink r:id="rId11">
              <w:r>
                <w:rPr>
                  <w:rStyle w:val="InternetLink"/>
                  <w:rFonts w:ascii="Times New Roman" w:hAnsi="Times New Roman"/>
                  <w:sz w:val="20"/>
                </w:rPr>
                <w:t>June  2, 2026</w:t>
              </w:r>
            </w:hyperlink>
            <w:r>
              <w:rPr>
                <w:rFonts w:ascii="Times New Roman" w:hAnsi="Times New Roman"/>
                <w:sz w:val="20"/>
              </w:rPr>
              <w:t xml:space="preserve">, and </w:t>
            </w:r>
            <w:hyperlink r:id="rId12">
              <w:r>
                <w:rPr>
                  <w:rStyle w:val="InternetLink"/>
                  <w:rFonts w:ascii="Times New Roman" w:hAnsi="Times New Roman"/>
                  <w:sz w:val="20"/>
                </w:rPr>
                <w:t>August 7, 2026</w:t>
              </w:r>
            </w:hyperlink>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w:t>
            </w:r>
            <w:hyperlink r:id="rId13">
              <w:r>
                <w:rPr>
                  <w:rStyle w:val="InternetLink"/>
                  <w:rFonts w:ascii="Times New Roman" w:hAnsi="Times New Roman"/>
                  <w:sz w:val="20"/>
                </w:rPr>
                <w:t>Definitive Proxy Statement on Schedule 14A</w:t>
              </w:r>
            </w:hyperlink>
            <w:r>
              <w:rPr>
                <w:rFonts w:ascii="Times New Roman" w:hAnsi="Times New Roman"/>
                <w:sz w:val="20"/>
              </w:rPr>
              <w:t xml:space="preserve"> filed in connection with our Annual Meeting of Stockholders held on May 29, 2026, filed with the SEC on April  17, 2026 (solely to the extent incorporated by reference into Part III of our Annual Report on </w:t>
            </w:r>
            <w:hyperlink r:id="rId14">
              <w:r>
                <w:rPr>
                  <w:rStyle w:val="InternetLink"/>
                  <w:rFonts w:ascii="Times New Roman" w:hAnsi="Times New Roman"/>
                  <w:sz w:val="20"/>
                </w:rPr>
                <w:t>Form 10-K</w:t>
              </w:r>
            </w:hyperlink>
            <w:r>
              <w:rPr>
                <w:rFonts w:ascii="Times New Roman" w:hAnsi="Times New Roman"/>
                <w:sz w:val="20"/>
              </w:rPr>
              <w:t xml:space="preserve"> for the fiscal year ended January 3,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Registration Statement on </w:t>
            </w:r>
            <w:hyperlink r:id="rId15">
              <w:r>
                <w:rPr>
                  <w:rStyle w:val="InternetLink"/>
                  <w:rFonts w:ascii="Times New Roman" w:hAnsi="Times New Roman"/>
                  <w:sz w:val="20"/>
                </w:rPr>
                <w:t>Form 8-A</w:t>
              </w:r>
            </w:hyperlink>
            <w:r>
              <w:rPr>
                <w:rFonts w:ascii="Times New Roman" w:hAnsi="Times New Roman"/>
                <w:sz w:val="20"/>
              </w:rPr>
              <w:t xml:space="preserve"> filed with the SEC on April 26, 2021 (File No. 001-40362), which describes the terms, rights and provisions applicable to the shares of the Common Stock, including any amendment or report filed for the purpose of updating such description, including the description of the common stock filed as </w:t>
            </w:r>
            <w:hyperlink r:id="rId16">
              <w:r>
                <w:rPr>
                  <w:rStyle w:val="InternetLink"/>
                  <w:rFonts w:ascii="Times New Roman" w:hAnsi="Times New Roman"/>
                  <w:sz w:val="20"/>
                </w:rPr>
                <w:t>Exhibit 4.1</w:t>
              </w:r>
            </w:hyperlink>
            <w:r>
              <w:rPr>
                <w:rFonts w:ascii="Times New Roman" w:hAnsi="Times New Roman"/>
                <w:sz w:val="20"/>
              </w:rPr>
              <w:t xml:space="preserve"> to our Annual Report on Form 10-K filed on March 28, 2022.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us pursuant to Sections 13(a), 13(c), 14 or 15(d) of the Exchange Act (not including any information furnished under Item 2.02, 7.01 or 9.01 of Form 8-K and any other information that is identified as “furnished” rather than filed, which information is not incorporated by reference herein) prior to the termination of this offering, will be deemed to be incorporated herein by reference and to be a part of this prospectus supplement and the accompanying prospectus from the date of the filing of such documents. Any statement contained in a document incorporated herein by reference will be deemed to be modified or superseded for purposes of this prospectus supplement and the accompanying prospectus to the extent that a statement contained herein, or in a subsequently filed document incorporated herein by reference, modifies or supersedes the statement. Any statement modified or superseded will not be deemed, except as modified or superseded, to constitute a part of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prospectus supplement and accompanying prospectus is delivered, upon written or oral request of that person, a copy of any and all of the information that has been incorporated by reference in this prospectus supplement and the accompanying prospectus but not delivered with this prospectus supplement (excluding exhibits unless specifically incorporated by reference into those documents). Please direct requests to us at the following address: </w:t>
      </w:r>
    </w:p>
    <w:p>
      <w:pPr>
        <w:pStyle w:val="TextBody"/>
        <w:bidi w:val="0"/>
        <w:spacing w:before="240" w:after="0"/>
        <w:jc w:val="center"/>
        <w:rPr>
          <w:rFonts w:ascii="Times New Roman" w:hAnsi="Times New Roman"/>
          <w:b/>
          <w:sz w:val="20"/>
        </w:rPr>
      </w:pPr>
      <w:r>
        <w:rPr>
          <w:rFonts w:ascii="Times New Roman" w:hAnsi="Times New Roman"/>
          <w:b/>
          <w:sz w:val="20"/>
        </w:rPr>
        <w:t xml:space="preserve">Aveanna Healthcare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400 Interstate North Parkway SE </w:t>
      </w:r>
    </w:p>
    <w:p>
      <w:pPr>
        <w:pStyle w:val="TextBody"/>
        <w:bidi w:val="0"/>
        <w:spacing w:before="0" w:after="0"/>
        <w:jc w:val="center"/>
        <w:rPr>
          <w:rFonts w:ascii="Times New Roman" w:hAnsi="Times New Roman"/>
          <w:b/>
          <w:sz w:val="20"/>
        </w:rPr>
      </w:pPr>
      <w:r>
        <w:rPr>
          <w:rFonts w:ascii="Times New Roman" w:hAnsi="Times New Roman"/>
          <w:b/>
          <w:sz w:val="20"/>
        </w:rPr>
        <w:t xml:space="preserve">Atlanta, Georgia 30339 </w:t>
      </w:r>
    </w:p>
    <w:p>
      <w:pPr>
        <w:pStyle w:val="TextBody"/>
        <w:bidi w:val="0"/>
        <w:spacing w:before="0" w:after="0"/>
        <w:jc w:val="center"/>
        <w:rPr>
          <w:rFonts w:ascii="Times New Roman" w:hAnsi="Times New Roman"/>
          <w:b/>
          <w:sz w:val="20"/>
        </w:rPr>
      </w:pPr>
      <w:r>
        <w:rPr>
          <w:rFonts w:ascii="Times New Roman" w:hAnsi="Times New Roman"/>
          <w:b/>
          <w:sz w:val="20"/>
        </w:rPr>
        <w:t xml:space="preserve">(770) 441-1580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Dated September 16, 2024 </w:t>
      </w:r>
    </w:p>
    <w:p>
      <w:pPr>
        <w:pStyle w:val="TextBody"/>
        <w:bidi w:val="0"/>
        <w:spacing w:before="240" w:after="0"/>
        <w:jc w:val="center"/>
        <w:rPr>
          <w:rFonts w:ascii="Times New Roman" w:hAnsi="Times New Roman"/>
          <w:b/>
          <w:sz w:val="48"/>
        </w:rPr>
      </w:pPr>
      <w:r>
        <w:rPr>
          <w:rFonts w:ascii="Times New Roman" w:hAnsi="Times New Roman"/>
          <w:b/>
          <w:sz w:val="48"/>
        </w:rPr>
        <w:t xml:space="preserve">Aveanna Healthcare Holdings Inc. </w:t>
      </w:r>
    </w:p>
    <w:p>
      <w:pPr>
        <w:pStyle w:val="TextBody"/>
        <w:bidi w:val="0"/>
        <w:spacing w:before="0" w:after="0"/>
        <w:jc w:val="left"/>
        <w:rPr/>
      </w:pPr>
      <w:r>
        <w:rPr/>
        <w:t> </w:t>
      </w:r>
    </w:p>
    <w:p>
      <w:pPr>
        <w:pStyle w:val="TextBody"/>
        <w:bidi w:val="0"/>
        <w:spacing w:before="0" w:after="0"/>
        <w:jc w:val="center"/>
        <w:rPr/>
      </w:pPr>
      <w:r>
        <w:rPr/>
        <w:drawing>
          <wp:inline distT="0" distB="0" distL="0" distR="0">
            <wp:extent cx="1714500" cy="923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1714500" cy="9239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$400,000,000 of Common Stock, Debt Securities, Warrants, Rights and Units </w:t>
      </w:r>
    </w:p>
    <w:p>
      <w:pPr>
        <w:pStyle w:val="TextBody"/>
        <w:bidi w:val="0"/>
        <w:spacing w:before="0" w:after="0"/>
        <w:jc w:val="center"/>
        <w:rPr>
          <w:rFonts w:ascii="Times New Roman" w:hAnsi="Times New Roman"/>
          <w:b/>
          <w:sz w:val="28"/>
        </w:rPr>
      </w:pPr>
      <w:r>
        <w:rPr>
          <w:rFonts w:ascii="Times New Roman" w:hAnsi="Times New Roman"/>
          <w:b/>
          <w:sz w:val="28"/>
        </w:rPr>
        <w:t xml:space="preserve">Offered by the Company and </w:t>
      </w:r>
    </w:p>
    <w:p>
      <w:pPr>
        <w:pStyle w:val="TextBody"/>
        <w:bidi w:val="0"/>
        <w:spacing w:before="0" w:after="0"/>
        <w:jc w:val="center"/>
        <w:rPr>
          <w:rFonts w:ascii="Times New Roman" w:hAnsi="Times New Roman"/>
          <w:b/>
          <w:sz w:val="28"/>
        </w:rPr>
      </w:pPr>
      <w:r>
        <w:rPr>
          <w:rFonts w:ascii="Times New Roman" w:hAnsi="Times New Roman"/>
          <w:b/>
          <w:sz w:val="28"/>
        </w:rPr>
        <w:t xml:space="preserve">Up to 54,431,349 Shares of Common Stock Offered by Selling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Aveanna Healthcare Holdings Inc. (“</w:t>
      </w:r>
      <w:r>
        <w:rPr>
          <w:rFonts w:ascii="Times New Roman" w:hAnsi="Times New Roman"/>
          <w:sz w:val="20"/>
          <w:u w:val="single"/>
        </w:rPr>
        <w:t>Aveanna,” “we,” “us,” “our” or the “Company”) may from time to time, offer to sell, in one or more offerings,</w:t>
      </w:r>
      <w:r>
        <w:rPr>
          <w:rFonts w:ascii="Times New Roman" w:hAnsi="Times New Roman"/>
          <w:sz w:val="20"/>
        </w:rPr>
        <w:t xml:space="preserve"> </w:t>
      </w:r>
      <w:r>
        <w:rPr>
          <w:rFonts w:ascii="Times New Roman" w:hAnsi="Times New Roman"/>
          <w:sz w:val="20"/>
          <w:u w:val="single"/>
        </w:rPr>
        <w:t>shares of common stock, senior debt securities, subordinated debt securities, warrants, rights and units (collectively, the “securities”), as described in this 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selling stockholders may from time to time offer to sell up to 54,431,349 shares of our common stock. We will not receive any of the proceeds from the sale of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or a selling stockholder offers, any securities pursuant to this prospectus, we will provide specific information about the offering and the specific terms, amounts and offering prices of the securities being offered in one or more prospectus supplements, which may also add to, update, supplement or clarify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or a selling stockholder may offer and sell our securities to or through one or more agents, underwriters, dealers or other third parties or directly to one or more purchasers on a continuous or delayed basis. If any agents or underwriters are involved in the sale of any of these securities, the applicable prospectus supplement will set forth the names of the agents or underwriters and any applicable fees, commissions or discounts. Our net proceeds from the sale of securities, if any, will also be set forth in the applicable prospectus supplement. For general information about the distribution of securities offered, please see “Plan of Distribution” beginning on page 25.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“AVAH”. On September 5, 2024, the closing price of our common stock was $5.76.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Before buying any offered securities, you should carefully consider the risk factors contained in this prospectus under the heading “</w:t>
      </w:r>
      <w:hyperlink w:anchor="tx321536_2">
        <w:r>
          <w:rPr>
            <w:rStyle w:val="InternetLink"/>
            <w:rFonts w:ascii="Times New Roman" w:hAnsi="Times New Roman"/>
            <w:b/>
            <w:sz w:val="24"/>
          </w:rPr>
          <w:t>Risk Factors</w:t>
        </w:r>
      </w:hyperlink>
      <w:r>
        <w:rPr>
          <w:rFonts w:ascii="Times New Roman" w:hAnsi="Times New Roman"/>
          <w:b/>
          <w:sz w:val="24"/>
        </w:rPr>
        <w:t xml:space="preserve">,” beginning on page 2 of this prospectus and in the “Risk Factors” section of the documents incorporated by reference in this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September 16,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6"/>
        <w:gridCol w:w="260"/>
        <w:gridCol w:w="96"/>
        <w:gridCol w:w="421"/>
        <w:gridCol w:w="62"/>
      </w:tblGrid>
      <w:tr>
        <w:trPr/>
        <w:tc>
          <w:tcPr>
            <w:tcW w:w="936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2">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3">
              <w:r>
                <w:rPr>
                  <w:rStyle w:val="InternetLink"/>
                  <w:rFonts w:ascii="Times New Roman" w:hAnsi="Times New Roman"/>
                  <w:sz w:val="20"/>
                </w:rPr>
                <w:t>CAUTIONARY STATEMENT REGARDING FORWARD-LOOKING STATEMENTS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4">
              <w:r>
                <w:rPr>
                  <w:rStyle w:val="InternetLink"/>
                  <w:rFonts w:ascii="Times New Roman" w:hAnsi="Times New Roman"/>
                  <w:sz w:val="20"/>
                </w:rPr>
                <w:t>THE COMPANY</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5">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6">
              <w:r>
                <w:rPr>
                  <w:rStyle w:val="InternetLink"/>
                  <w:rFonts w:ascii="Times New Roman" w:hAnsi="Times New Roman"/>
                  <w:sz w:val="20"/>
                </w:rPr>
                <w:t>DESCRIPTION OF CAPITAL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7">
              <w:r>
                <w:rPr>
                  <w:rStyle w:val="InternetLink"/>
                  <w:rFonts w:ascii="Times New Roman" w:hAnsi="Times New Roman"/>
                  <w:sz w:val="20"/>
                </w:rPr>
                <w:t>DESCRIPTION OF WARRANTS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8">
              <w:r>
                <w:rPr>
                  <w:rStyle w:val="InternetLink"/>
                  <w:rFonts w:ascii="Times New Roman" w:hAnsi="Times New Roman"/>
                  <w:sz w:val="20"/>
                </w:rPr>
                <w:t>DESCRIPTION OF RIGHTS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9">
              <w:r>
                <w:rPr>
                  <w:rStyle w:val="InternetLink"/>
                  <w:rFonts w:ascii="Times New Roman" w:hAnsi="Times New Roman"/>
                  <w:sz w:val="20"/>
                </w:rPr>
                <w:t>DESCRIPTION OF UNITS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0">
              <w:r>
                <w:rPr>
                  <w:rStyle w:val="InternetLink"/>
                  <w:rFonts w:ascii="Times New Roman" w:hAnsi="Times New Roman"/>
                  <w:sz w:val="20"/>
                </w:rPr>
                <w:t>FORMS OF SECURITIES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1">
              <w:r>
                <w:rPr>
                  <w:rStyle w:val="InternetLink"/>
                  <w:rFonts w:ascii="Times New Roman" w:hAnsi="Times New Roman"/>
                  <w:sz w:val="20"/>
                </w:rPr>
                <w:t>SELLING STOCKHOLDERS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2">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3">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4">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5">
              <w:r>
                <w:rPr>
                  <w:rStyle w:val="InternetLink"/>
                  <w:rFonts w:ascii="Times New Roman" w:hAnsi="Times New Roman"/>
                  <w:sz w:val="20"/>
                </w:rPr>
                <w:t>INCORPORATION OF CERTAIN DOCUMENTS BY REFERENCE</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6">
              <w:r>
                <w:rPr>
                  <w:rStyle w:val="InternetLink"/>
                  <w:rFonts w:ascii="Times New Roman" w:hAnsi="Times New Roman"/>
                  <w:sz w:val="20"/>
                </w:rPr>
                <w:t>WHERE YOU CAN FIND MORE INFORMATION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321536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on Form S-3 that we filed with the U.S. Securities and Exchange Commission (the “</w:t>
      </w:r>
      <w:r>
        <w:rPr>
          <w:rFonts w:ascii="Times New Roman" w:hAnsi="Times New Roman"/>
          <w:sz w:val="20"/>
          <w:u w:val="single"/>
        </w:rPr>
        <w:t>SEC</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xml:space="preserve">”), using a “shelf” registration process. Under this shelf process, we may sell the securities described in this prospectus in one or more offerings up to a total price to the public of $400,000,000. The selling stockholders may sell up to 54,431,349 shares of common stock in one or more offerings. As allowed by the SEC rules,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only a general description of the securities we or the selling stockholders may offer. Each time we or the selling stockholders offer securities, we will provide a prospectus supplement that will describe the specific amounts, prices and terms of the offered securities. Any prospectus supplement may also add, update or change information contained in this prospectus. Any statement that we make in this prospectus will be modified or superseded by any inconsistent statement made by us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read both this prospectus and any applicable prospectus supplement and any related free writing prospectus, together with additional information incorporated herein by reference as described under the headings “Where You Can Find More Information” and “Incorporation of Certain Documents By Reference” before deciding to invest in any of the securities being offered. Information incorporated by reference after the date of this prospectus is considered a part of this prospectus and may add, update or change information contained in this prospectus. Any information in such subsequent filings that is inconsistent with this prospectus or any prospectus supplement will supersede the information in this prospectus or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 other person to provide you with additional or different information than the information contained or incorporated by reference in this prospectus, any prospectus supplement and any free writing prospectus related to the applicable securities that is prepared by us or on our behalf or that is otherwise authorized by us. Neither we nor the selling stockholders take responsibility for, and can provide no assurance as to the reliability of, any other information that others may give you. Neither we nor the selling stockholders will make an offer to sell these securities in any jurisdiction where the offer or sale is not permitted. You should assume that the information appearing in this prospectus, as well as information we have previously filed with the SEC and incorporate herein by reference, is accurate only as of the date on the front cover of this prospectus.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References in this prospectus to the “</w:t>
      </w:r>
      <w:r>
        <w:rPr>
          <w:rFonts w:ascii="Times New Roman" w:hAnsi="Times New Roman"/>
          <w:sz w:val="20"/>
          <w:u w:val="single"/>
        </w:rPr>
        <w:t>Registrant</w:t>
      </w:r>
      <w:r>
        <w:rPr>
          <w:rFonts w:ascii="Times New Roman" w:hAnsi="Times New Roman"/>
          <w:sz w:val="20"/>
        </w:rPr>
        <w:t>,” “</w:t>
      </w:r>
      <w:r>
        <w:rPr>
          <w:rFonts w:ascii="Times New Roman" w:hAnsi="Times New Roman"/>
          <w:sz w:val="20"/>
          <w:u w:val="single"/>
        </w:rPr>
        <w:t>Aveanna</w:t>
      </w:r>
      <w:r>
        <w:rPr>
          <w:rFonts w:ascii="Times New Roman" w:hAnsi="Times New Roman"/>
          <w:sz w:val="20"/>
        </w:rPr>
        <w:t>,” “</w:t>
      </w:r>
      <w:r>
        <w:rPr>
          <w:rFonts w:ascii="Times New Roman" w:hAnsi="Times New Roman"/>
          <w:sz w:val="20"/>
          <w:u w:val="single"/>
        </w:rPr>
        <w:t>we</w:t>
      </w:r>
      <w:r>
        <w:rPr>
          <w:rFonts w:ascii="Times New Roman" w:hAnsi="Times New Roman"/>
          <w:sz w:val="20"/>
        </w:rPr>
        <w:t>,” “</w:t>
      </w:r>
      <w:r>
        <w:rPr>
          <w:rFonts w:ascii="Times New Roman" w:hAnsi="Times New Roman"/>
          <w:sz w:val="20"/>
          <w:u w:val="single"/>
        </w:rPr>
        <w:t>us</w:t>
      </w:r>
      <w:r>
        <w:rPr>
          <w:rFonts w:ascii="Times New Roman" w:hAnsi="Times New Roman"/>
          <w:sz w:val="20"/>
        </w:rPr>
        <w:t>,” and “</w:t>
      </w:r>
      <w:r>
        <w:rPr>
          <w:rFonts w:ascii="Times New Roman" w:hAnsi="Times New Roman"/>
          <w:sz w:val="20"/>
          <w:u w:val="single"/>
        </w:rPr>
        <w:t>our</w:t>
      </w:r>
      <w:r>
        <w:rPr>
          <w:rFonts w:ascii="Times New Roman" w:hAnsi="Times New Roman"/>
          <w:sz w:val="20"/>
        </w:rPr>
        <w:t xml:space="preserve">” refer to Aveanna Healthcare Holdings Inc. and its subsidiaries unless the context requires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321536_2"/>
      <w:bookmarkEnd w:id="1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purchase any of our securities, you should carefully consider the discussion of risks and uncertainties under the heading “Item 1A. Risk Factors” contained in our Annual Report on Form 10-K for the fiscal year ended December 30, 2023 filed with the SEC on March 14, 2024, which is incorporated by reference in this prospectus, and under similar headings in our subsequently filed Quarterly Reports on Form 10-Q and Annual Reports on Form 10-K, as well as the other risks and uncertainties described in any applicable prospectus supplement and in the other documents incorporated by reference in this prospectus. See the section entitled “Where You Can Find More Information” on page 29 of this prospectus. The risks and uncertainties we discuss in the documents incorporated by reference in this prospectus are those we currently believe may materially affect our company. Additional risks and uncertainties not presently known to us or that we currently believe are immaterial also may materially and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321536_3"/>
      <w:bookmarkEnd w:id="17"/>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Certain of the statements contained in this prospectus and in documents incorporated by reference in this prospectus are “forward-looking” statements as defined in the Private Securities Litigation Reform Act of 1995 (“</w:t>
      </w:r>
      <w:r>
        <w:rPr>
          <w:rFonts w:ascii="Times New Roman" w:hAnsi="Times New Roman"/>
          <w:sz w:val="20"/>
          <w:u w:val="single"/>
        </w:rPr>
        <w:t>PSLRA</w:t>
      </w:r>
      <w:r>
        <w:rPr>
          <w:rFonts w:ascii="Times New Roman" w:hAnsi="Times New Roman"/>
          <w:sz w:val="20"/>
        </w:rPr>
        <w:t>”), Section 27A of the Securities Act, and Section 21E of the Securities Exchange Act of 1934, as amended (the “</w:t>
      </w:r>
      <w:r>
        <w:rPr>
          <w:rFonts w:ascii="Times New Roman" w:hAnsi="Times New Roman"/>
          <w:sz w:val="20"/>
          <w:u w:val="single"/>
        </w:rPr>
        <w:t>Exchange Act</w:t>
      </w:r>
      <w:r>
        <w:rPr>
          <w:rFonts w:ascii="Times New Roman" w:hAnsi="Times New Roman"/>
          <w:sz w:val="20"/>
        </w:rPr>
        <w:t xml:space="preserve">”). Forward-looking statements include statements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described in “Item 1A-Risk Factors” of our Annual Report on Form 10-K for the fiscal year ended December 30, 2023, which is incorporated by reference in this prospectus. We do not undertake any obligation to update forward-looking statements, except to the extent required by applicable law. We intend that all forward-looking statements be subject to the safe-harbor provisions of the PSLRA. These forward-looking statements are only predictions and reflect our views as of the date they are made with respect to future events and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the occurrence of which could adversely affect our business,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intense competition among home health, hospice and durable medical equipment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relationships with existing patient referral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our business, financial condition and results of operations may be materially adversely affected by public health emergencies, such as a resurgence of the COVID-19 pandemic or other public health emergencies;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have services funded from third-party payers, including Medicare, Medicaid and private health 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Medicare or Medicaid rates or methods governing Medicare or Medicaid payments, and the implementation of alternative payment models, including but not limited to Medicare Advantage, Managed Care Organization, managed Medicaid, and other forms of managed 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downward pressure on reimbursement resulting from further proliferation of Medicare Advantage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limited ability to control reimbursement rates received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collection or non-collection of our patient accounts receivable, particularly during the business integration process, or when transitioning between systems associated with clinical data collection and submission, as well as billing and collection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reform and other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case-mix of our patients, as well as payer mix and payment methodologies;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reduction in net reimbursement if we do not effectively implement value-based 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experienced employees and management personnel, and including both shortages in workforce and inflationary wage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maintain the security and functionality of our information systems or to defend against or otherwise prevent a cybersecurity attack or breach;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substantial indebtedness, which increases our vulnerability to general adverse economic and industry conditions and may limit our ability to pursue strategic alternatives and react to changes in our business and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acquire, successfully integrate and obtain financing for strategic and accretive acquisitions;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legal proceedings, claims and governmental inquiries given that the nature of our business exposes us to various liability claims, which may exceed the level of our insurance coverage.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there can be no assurance that the forward-looking statements contained herein will occur or that objectives will be achieved, and all such forward-looking statements are expressly qualified in their entirety by the factors above, as well as those contained in the “Risk Factors” sections of the reports we file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321536_4"/>
      <w:bookmarkEnd w:id="18"/>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This summary highlights selected information about us and does not contain all the information that is important to you. You should carefully read this prospectus, each applicable prospectus supplement and the documents to which we have referred to in “Incorporation of Certain Documents by Reference” on page 28 of this prospectus for information about us and our financial condition and results of operation.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diversified home care platform focused on providing care to medically complex, high-cost patient populations. We directly address the most pressing challenges facing the U.S. healthcare system by providing safe, high-quality care in the home, the lower cost care setting preferred by patients. Our patient-centered care delivery platform is designed to improve the quality of care our patients receive, which allows them to remain in their homes and minimizes the overutilization of high-cost care settings such as hospitals. Our clinical model is led by our caregivers, primarily skilled nurses, who provide specialized care to address the complex needs of each patient we serve across the full range of patient populations: newborns, children, adults and seniors. We have invested significantly in our platform to bring together best-in-class talent at all levels of the organization and support such talent with industry leading training, clinical programs, infrastructure and technology-enabled systems, which are increasingly essential in an evolving healthcare industry. We believe our platform creates sustainable competitive advantages that support our ability to continue driving rapid growth, both organically and through acquisitions, and positions us as the partner of choice for the patients we serve. </w:t>
      </w:r>
    </w:p>
    <w:p>
      <w:pPr>
        <w:pStyle w:val="TextBody"/>
        <w:bidi w:val="0"/>
        <w:spacing w:before="360" w:after="0"/>
        <w:jc w:val="left"/>
        <w:rPr>
          <w:rFonts w:ascii="Times New Roman" w:hAnsi="Times New Roman"/>
          <w:b/>
          <w:sz w:val="20"/>
        </w:rPr>
      </w:pPr>
      <w:r>
        <w:rPr>
          <w:rFonts w:ascii="Times New Roman" w:hAnsi="Times New Roman"/>
          <w:b/>
          <w:sz w:val="20"/>
        </w:rPr>
        <w:t xml:space="preserve">Segments </w:t>
      </w:r>
    </w:p>
    <w:p>
      <w:pPr>
        <w:pStyle w:val="TextBody"/>
        <w:bidi w:val="0"/>
        <w:spacing w:before="120" w:after="0"/>
        <w:jc w:val="left"/>
        <w:rPr>
          <w:rFonts w:ascii="Times New Roman" w:hAnsi="Times New Roman"/>
          <w:sz w:val="20"/>
        </w:rPr>
      </w:pPr>
      <w:r>
        <w:rPr>
          <w:rFonts w:ascii="Times New Roman" w:hAnsi="Times New Roman"/>
          <w:sz w:val="20"/>
        </w:rPr>
        <w:t>We deliver our services to patients through three segments: Private Duty Services (“</w:t>
      </w:r>
      <w:r>
        <w:rPr>
          <w:rFonts w:ascii="Times New Roman" w:hAnsi="Times New Roman"/>
          <w:sz w:val="20"/>
          <w:u w:val="single"/>
        </w:rPr>
        <w:t>PDS</w:t>
      </w:r>
      <w:r>
        <w:rPr>
          <w:rFonts w:ascii="Times New Roman" w:hAnsi="Times New Roman"/>
          <w:sz w:val="20"/>
        </w:rPr>
        <w:t>”); Home Health &amp; Hospice (“</w:t>
      </w:r>
      <w:r>
        <w:rPr>
          <w:rFonts w:ascii="Times New Roman" w:hAnsi="Times New Roman"/>
          <w:sz w:val="20"/>
          <w:u w:val="single"/>
        </w:rPr>
        <w:t>HHH</w:t>
      </w:r>
      <w:r>
        <w:rPr>
          <w:rFonts w:ascii="Times New Roman" w:hAnsi="Times New Roman"/>
          <w:sz w:val="20"/>
        </w:rPr>
        <w:t>”); and Medical Solutions (“</w:t>
      </w:r>
      <w:r>
        <w:rPr>
          <w:rFonts w:ascii="Times New Roman" w:hAnsi="Times New Roman"/>
          <w:sz w:val="20"/>
          <w:u w:val="single"/>
        </w:rPr>
        <w:t>MS</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PDS Segment </w:t>
      </w:r>
    </w:p>
    <w:p>
      <w:pPr>
        <w:pStyle w:val="TextBody"/>
        <w:bidi w:val="0"/>
        <w:spacing w:before="120" w:after="0"/>
        <w:jc w:val="left"/>
        <w:rPr>
          <w:rFonts w:ascii="Times New Roman" w:hAnsi="Times New Roman"/>
          <w:sz w:val="20"/>
        </w:rPr>
      </w:pPr>
      <w:r>
        <w:rPr>
          <w:rFonts w:ascii="Times New Roman" w:hAnsi="Times New Roman"/>
          <w:sz w:val="20"/>
        </w:rPr>
        <w:t>Private Duty Services predominantly includes private duty nursing (“</w:t>
      </w:r>
      <w:r>
        <w:rPr>
          <w:rFonts w:ascii="Times New Roman" w:hAnsi="Times New Roman"/>
          <w:sz w:val="20"/>
          <w:u w:val="single"/>
        </w:rPr>
        <w:t>PDN</w:t>
      </w:r>
      <w:r>
        <w:rPr>
          <w:rFonts w:ascii="Times New Roman" w:hAnsi="Times New Roman"/>
          <w:sz w:val="20"/>
        </w:rPr>
        <w:t xml:space="preserve">”) services, as well as pediatric therapy services. Our PDN patients typically enter our service as children, as our most significant referral sources for new patients are children’s hospitals. It is common for our PDN patients to continue to receive our services into adulthood, as approximately 30% of our PDN patients are over the age of 18. </w:t>
      </w:r>
    </w:p>
    <w:p>
      <w:pPr>
        <w:pStyle w:val="TextBody"/>
        <w:bidi w:val="0"/>
        <w:spacing w:before="240" w:after="0"/>
        <w:jc w:val="left"/>
        <w:rPr>
          <w:rFonts w:ascii="Times New Roman" w:hAnsi="Times New Roman"/>
          <w:sz w:val="20"/>
        </w:rPr>
      </w:pPr>
      <w:r>
        <w:rPr>
          <w:rFonts w:ascii="Times New Roman" w:hAnsi="Times New Roman"/>
          <w:sz w:val="20"/>
        </w:rPr>
        <w:t xml:space="preserve">Our PDN services involve the provision of clinical and non-clinical hourly care to patients in their homes, which is the preferred setting for patient care. PDN services typically last four to 24 hours a day, provided by our registered nurses, licensed practical nurses, home health aides, and other non-clinical caregivers who are focused on providing high-quality short-term and long-term clinical care to medically fragile children and adults with a wide variety of serious illnesses and conditions. Patients who typically qualify for our PDN services include those with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Tracheotomies or ventilator dependence;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Dependence on continuous nutritional feeding through a “G-tube” or “NG-tube”;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Dependence on intravenous nutrition;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Oxygen-dependence in conjunction with other medical needs;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Complex medical needs such as frequent seizures.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PDN services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In-home skilled nursing services to medically fragile children and adults;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Nursing services in school settings in which our caregivers accompany patients to school;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Services to patients in our Pediatric Day Healthcare Centers;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Non-clinical care, including programs such as employer of record support services and personal care services.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Through our pediatric therapy services, we provide a valuable multidisciplinary approach that we believe serves all of a child’s therapy needs. We provide both in-clinic and home-based therapy services to our patients. Our therapy services include physical, occupational and speech services. We regularly collaborate with physicians and other community healthcare providers, which allows us to provide more comprehensive care. </w:t>
      </w:r>
    </w:p>
    <w:p>
      <w:pPr>
        <w:pStyle w:val="TextBody"/>
        <w:bidi w:val="0"/>
        <w:spacing w:before="360" w:after="0"/>
        <w:jc w:val="left"/>
        <w:rPr>
          <w:rFonts w:ascii="Times New Roman" w:hAnsi="Times New Roman"/>
          <w:i/>
          <w:sz w:val="20"/>
        </w:rPr>
      </w:pPr>
      <w:r>
        <w:rPr>
          <w:rFonts w:ascii="Times New Roman" w:hAnsi="Times New Roman"/>
          <w:i/>
          <w:sz w:val="20"/>
        </w:rPr>
        <w:t xml:space="preserve">HHH Segment </w:t>
      </w:r>
    </w:p>
    <w:p>
      <w:pPr>
        <w:pStyle w:val="TextBody"/>
        <w:bidi w:val="0"/>
        <w:spacing w:before="120" w:after="0"/>
        <w:jc w:val="left"/>
        <w:rPr>
          <w:rFonts w:ascii="Times New Roman" w:hAnsi="Times New Roman"/>
          <w:sz w:val="20"/>
        </w:rPr>
      </w:pPr>
      <w:r>
        <w:rPr>
          <w:rFonts w:ascii="Times New Roman" w:hAnsi="Times New Roman"/>
          <w:sz w:val="20"/>
        </w:rPr>
        <w:t xml:space="preserve">Our Home Health and Hospice segment predominantly includes home health services, as well as hospice and specialty program services. Our </w:t>
      </w:r>
    </w:p>
    <w:p>
      <w:pPr>
        <w:pStyle w:val="TextBody"/>
        <w:bidi w:val="0"/>
        <w:spacing w:before="240" w:after="0"/>
        <w:jc w:val="left"/>
        <w:rPr>
          <w:rFonts w:ascii="Times New Roman" w:hAnsi="Times New Roman"/>
          <w:sz w:val="20"/>
        </w:rPr>
      </w:pPr>
      <w:r>
        <w:rPr>
          <w:rFonts w:ascii="Times New Roman" w:hAnsi="Times New Roman"/>
          <w:sz w:val="20"/>
        </w:rPr>
        <w:t xml:space="preserve">HHH patients typically enter our service as seniors, and our most significant referral sources for new patients are hospitals, physicians and long-term care facilities. </w:t>
      </w:r>
    </w:p>
    <w:p>
      <w:pPr>
        <w:pStyle w:val="TextBody"/>
        <w:bidi w:val="0"/>
        <w:spacing w:before="240" w:after="0"/>
        <w:jc w:val="left"/>
        <w:rPr>
          <w:rFonts w:ascii="Times New Roman" w:hAnsi="Times New Roman"/>
          <w:sz w:val="20"/>
        </w:rPr>
      </w:pPr>
      <w:r>
        <w:rPr>
          <w:rFonts w:ascii="Times New Roman" w:hAnsi="Times New Roman"/>
          <w:sz w:val="20"/>
        </w:rPr>
        <w:t xml:space="preserve">Our home health services involve the provision of in-home services to our patients by our clinicians which may include nurses, therapists, social workers and home health aides. Our caregivers work with our patients’ physicians to deliver a personalized plan of care to our patients in their homes. Home healthcare can help our patients recover after a hospitalization or surgery and assist patients in managing chronic illnesses. We also help our patients manage their medications. Through our care, we help our patients recover more fully in the comfort of their own homes, while remaining as independent as possible. Our home health services include: in-home skilled nursing services; physical, occupational and speech therapy; medical social services and aide services. </w:t>
      </w:r>
    </w:p>
    <w:p>
      <w:pPr>
        <w:pStyle w:val="TextBody"/>
        <w:bidi w:val="0"/>
        <w:spacing w:before="240" w:after="0"/>
        <w:jc w:val="left"/>
        <w:rPr>
          <w:rFonts w:ascii="Times New Roman" w:hAnsi="Times New Roman"/>
          <w:sz w:val="20"/>
        </w:rPr>
      </w:pPr>
      <w:r>
        <w:rPr>
          <w:rFonts w:ascii="Times New Roman" w:hAnsi="Times New Roman"/>
          <w:sz w:val="20"/>
        </w:rPr>
        <w:t xml:space="preserve">Our hospice services involve a supportive philosophy and concept of care for those nearing the end of life. Our hospice care is a positive, empowering form of care designed to provide comfort and support to our patients and their families when a life-limiting illness no longer responds to cure-oriented treatments. The goal of hospice is to neither prolong life nor hasten death, but to help our patients live as dignified and pain-free as possible. Our hospice care is provided by a team of specially trained professionals in a variety of living situations, including at home, at the hospital, a nursing home, or an assisted living facility. </w:t>
      </w:r>
    </w:p>
    <w:p>
      <w:pPr>
        <w:pStyle w:val="TextBody"/>
        <w:bidi w:val="0"/>
        <w:spacing w:before="360" w:after="0"/>
        <w:jc w:val="left"/>
        <w:rPr>
          <w:rFonts w:ascii="Times New Roman" w:hAnsi="Times New Roman"/>
          <w:i/>
          <w:sz w:val="20"/>
        </w:rPr>
      </w:pPr>
      <w:r>
        <w:rPr>
          <w:rFonts w:ascii="Times New Roman" w:hAnsi="Times New Roman"/>
          <w:i/>
          <w:sz w:val="20"/>
        </w:rPr>
        <w:t xml:space="preserve">MS Segment </w:t>
      </w:r>
    </w:p>
    <w:p>
      <w:pPr>
        <w:pStyle w:val="TextBody"/>
        <w:bidi w:val="0"/>
        <w:spacing w:before="120" w:after="0"/>
        <w:jc w:val="left"/>
        <w:rPr>
          <w:rFonts w:ascii="Times New Roman" w:hAnsi="Times New Roman"/>
          <w:sz w:val="20"/>
        </w:rPr>
      </w:pPr>
      <w:r>
        <w:rPr>
          <w:rFonts w:ascii="Times New Roman" w:hAnsi="Times New Roman"/>
          <w:sz w:val="20"/>
        </w:rPr>
        <w:t xml:space="preserve">Through our Medical Solutions segment, we offer a comprehensive line of enteral nutrition supplies and other products to adults and children, delivered on a periodic or as-needed basis. We provide our patients with access to one of the largest selections of enteral formulas, supplies and pumps in our industry, with more than 300 nutritional formulas available. Our registered nurses, registered dietitians and customer service technicians support our patients 24 hours per day, 365 days per year, in-hospital, at-home, or remotely to help ensure that our patients have the best nutrition assessments, change order reviews and formula selection expertise. </w:t>
      </w:r>
    </w:p>
    <w:p>
      <w:pPr>
        <w:pStyle w:val="TextBody"/>
        <w:bidi w:val="0"/>
        <w:spacing w:before="360" w:after="0"/>
        <w:jc w:val="left"/>
        <w:rPr>
          <w:rFonts w:ascii="Times New Roman" w:hAnsi="Times New Roman"/>
          <w:i/>
          <w:sz w:val="20"/>
        </w:rPr>
      </w:pPr>
      <w:r>
        <w:rPr>
          <w:rFonts w:ascii="Times New Roman" w:hAnsi="Times New Roman"/>
          <w:i/>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Aveanna is a Delaware corporation and was incorporated on November 30, 2016, originally under the name BCPE Oasis Holdings Inc. Aveanna commenced operations in March 2017 in connection with the transformative merger of Epic Health Services Inc. and Pediatric Services of America, Inc. in March 2017 under the name BCPE Eagle Holdings Inc. On May 26, 2017, we changed our name to Aveanna Healthcare Holdings Inc. and commenced trading on the Nasdaq Stock Market on April 29, 2021. Our principal executive offices are located at 400 Interstate North Parkway, Suite 1600, Atlanta, Georgia and our phone number is (770) 441-1580.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on the Internet is www.aveanna.com. The information contained on, or accessible through, our website is not incorporated into this prospectus and does not form a part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321536_5"/>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price or prices to the public of our securities and any net proceeds we expect to receive from the sale of such securities will be described in the applicable prospectus supplement. Unless otherwise specified in the applicable prospectus supplement, any proceeds we receive from the sale of the securities to which the prospectus relates will be used for general corporate purposes. We will have significant discretion in the use of any net proceeds we receive and may invest the net proceeds temporarily until we use them for their stated purpose.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shares of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321536_6"/>
      <w:bookmarkEnd w:id="2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The following summarizes certain material terms and provisions of our common stock and our preferred stock. It does not purport to be complete, however, and is qualified in its entirety by reference to our Second Amended and Restated Certificate of Incorporation (the “</w:t>
      </w:r>
      <w:r>
        <w:rPr>
          <w:rFonts w:ascii="Times New Roman" w:hAnsi="Times New Roman"/>
          <w:sz w:val="20"/>
          <w:u w:val="single"/>
        </w:rPr>
        <w:t>Amended Charter</w:t>
      </w:r>
      <w:r>
        <w:rPr>
          <w:rFonts w:ascii="Times New Roman" w:hAnsi="Times New Roman"/>
          <w:sz w:val="20"/>
        </w:rPr>
        <w:t>”) and our Second Amended and Restated Bylaws (the “</w:t>
      </w:r>
      <w:r>
        <w:rPr>
          <w:rFonts w:ascii="Times New Roman" w:hAnsi="Times New Roman"/>
          <w:sz w:val="20"/>
          <w:u w:val="single"/>
        </w:rPr>
        <w:t>Amended Bylaws</w:t>
      </w:r>
      <w:r>
        <w:rPr>
          <w:rFonts w:ascii="Times New Roman" w:hAnsi="Times New Roman"/>
          <w:sz w:val="20"/>
        </w:rPr>
        <w:t>”), which are incorporated by reference as exhibits to the registration statement of which this prospectus forms a part, and the General Corporation Law of the State of Delaware (the “</w:t>
      </w:r>
      <w:r>
        <w:rPr>
          <w:rFonts w:ascii="Times New Roman" w:hAnsi="Times New Roman"/>
          <w:sz w:val="20"/>
          <w:u w:val="single"/>
        </w:rPr>
        <w:t>DGCL</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 Authorized and Outstanding Shares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under our Amended and Restated Certificate of Incorporation, we had the authority to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1,000,000,000 shares of common stock, par value $0.01 per share (“</w:t>
            </w:r>
            <w:r>
              <w:rPr>
                <w:rFonts w:ascii="Times New Roman" w:hAnsi="Times New Roman"/>
                <w:sz w:val="20"/>
                <w:u w:val="single"/>
              </w:rPr>
              <w:t>common stock</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5,000,000 shares of preferred stock, par value $0.01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descriptions set forth certain general terms and provisions of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shares of common stock are entitled to one vote per share in connection with any matter submitted to a vote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required by law or as otherwise provided in any certificate of designation for any series of preferred stock, the holders of our common stock possess all voting power for the election of our directors and all other matters requiring stockholder action, and no holder of any series of preferred stock shall be entitled to any voting powers in respect thereof. </w:t>
      </w:r>
    </w:p>
    <w:p>
      <w:pPr>
        <w:pStyle w:val="TextBody"/>
        <w:bidi w:val="0"/>
        <w:spacing w:before="240" w:after="0"/>
        <w:jc w:val="left"/>
        <w:rPr>
          <w:rFonts w:ascii="Times New Roman" w:hAnsi="Times New Roman"/>
          <w:b/>
          <w:sz w:val="20"/>
        </w:rPr>
      </w:pPr>
      <w:r>
        <w:rPr>
          <w:rFonts w:ascii="Times New Roman" w:hAnsi="Times New Roman"/>
          <w:b/>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Subject to any preferential dividend rights of holders of any then outstanding shares of our preferred stock and the Amended Charter, the holders of shares of common stock will be entitled to ratably receive such dividends, if any, as may be declared from time to time by our board of directors (the “</w:t>
      </w:r>
      <w:r>
        <w:rPr>
          <w:rFonts w:ascii="Times New Roman" w:hAnsi="Times New Roman"/>
          <w:sz w:val="20"/>
          <w:u w:val="single"/>
        </w:rPr>
        <w:t>Board of Directors</w:t>
      </w:r>
      <w:r>
        <w:rPr>
          <w:rFonts w:ascii="Times New Roman" w:hAnsi="Times New Roman"/>
          <w:sz w:val="20"/>
        </w:rPr>
        <w:t xml:space="preserve">”) in its discretion out of funds legally available therefor. </w:t>
      </w:r>
    </w:p>
    <w:p>
      <w:pPr>
        <w:pStyle w:val="TextBody"/>
        <w:bidi w:val="0"/>
        <w:spacing w:before="24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voluntary or involuntary liquidation, dissolution, distribution of assets or winding-up of the Company, after payments to creditors and subject to any preferential liquidation, dissolution or winding up rights of holders of any then outstanding shares of our preferred stock, the holders of shares of common stock are entitled to share ratably in all of our remaining assets and funds available for distribution to holders of shares of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the common stock do not have any preemptive, subscription, redemption or conversion rights and there are no sinking fund provisions with respect to our common stock. All of the shares of the common stock currently issued and outstanding are fully-paid and nonassessable. </w:t>
      </w:r>
    </w:p>
    <w:p>
      <w:pPr>
        <w:pStyle w:val="TextBody"/>
        <w:bidi w:val="0"/>
        <w:spacing w:before="240" w:after="0"/>
        <w:jc w:val="left"/>
        <w:rPr>
          <w:rFonts w:ascii="Times New Roman" w:hAnsi="Times New Roman"/>
          <w:b/>
          <w:sz w:val="20"/>
        </w:rPr>
      </w:pPr>
      <w:r>
        <w:rPr>
          <w:rFonts w:ascii="Times New Roman" w:hAnsi="Times New Roman"/>
          <w:b/>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Section 214 of the DGCL provides that the certificate of incorporation of any corporation may provide stockholders with the right to cumulate votes in the election of directors. The Amended Charter does not provide for cumulative voting of shares of the common stock. Because of this, the holders of a majority of the shares of common stock entitled to vote in any election of directors can elect all of the directors standing for election, if they should so choose.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agent’s address is 55 Challenger Road, Floor 2, Ridgefield Park, NJ 07660.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“AVAH.” </w:t>
      </w:r>
    </w:p>
    <w:p>
      <w:pPr>
        <w:pStyle w:val="TextBody"/>
        <w:bidi w:val="0"/>
        <w:spacing w:before="360" w:after="0"/>
        <w:jc w:val="left"/>
        <w:rPr>
          <w:rFonts w:ascii="Times New Roman" w:hAnsi="Times New Roman"/>
          <w:b/>
          <w:sz w:val="20"/>
        </w:rPr>
      </w:pPr>
      <w:r>
        <w:rPr>
          <w:rFonts w:ascii="Times New Roman" w:hAnsi="Times New Roman"/>
          <w:b/>
          <w:sz w:val="20"/>
        </w:rPr>
        <w:t xml:space="preserve">Amended Charter, Amended Bylaws and DGCL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Amended Charter, the Amended Bylaws and the DGCL, which are summarized below, could have the effect of making it more difficult to change the composition of the Board of Directors or for any person or entity to acquire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our common stock will be available for future issuance without stockholder approval except as required by law or by any stock exchange on which our common stock may be listed. These additional shares may be utilized for a variety of corporate purposes, including future public offerings to raise additional capital, acquisitions and employee benefit plans. In addition, our Board of Directors may authorize, without stockholder approval, the issuance of undesignated preferred stock with voting rights or other rights or preferences designated from time to time by our Board of Directors. The existence of authorized but unissued shares of common stock or preferred stock may enable the Board of Directors to render more difficult or to discourage an attempt to obtain control of us by means of a merger, tender offer, proxy contest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The Amended Charter provides that the Board of Directors is divided into three classes of directors, with the classes to be as nearly equal in number as possible, and with the directors serving three-year terms. As a result, approximately one-third of the Board of Directors will be elected each year. The classification of directors has the effect of making it more difficult for stockholders to change the composition of the Board of Directors. Our Amended Charter and Amended Bylaws provide that, subject to any rights of holders of preferred stock to elect additional directors under specified circumstances, the number of directors will be fixed from time to time exclusively pursuant to a resolution adopted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Stockholders;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Our Amended Bylaws provide that special meetings of our stockholders may be called, prior to the date on which the Investors (as defined in the Amended Charter) cease to beneficially own at least 50% of the outstanding shares of common stock (such event, the “</w:t>
      </w:r>
      <w:r>
        <w:rPr>
          <w:rFonts w:ascii="Times New Roman" w:hAnsi="Times New Roman"/>
          <w:sz w:val="20"/>
          <w:u w:val="single"/>
        </w:rPr>
        <w:t>Trigger Event</w:t>
      </w:r>
      <w:r>
        <w:rPr>
          <w:rFonts w:ascii="Times New Roman" w:hAnsi="Times New Roman"/>
          <w:sz w:val="20"/>
        </w:rPr>
        <w:t>”), only by or at the direction of the Board of Directors or the Chairman of the Board of Directors (the “</w:t>
      </w:r>
      <w:r>
        <w:rPr>
          <w:rFonts w:ascii="Times New Roman" w:hAnsi="Times New Roman"/>
          <w:sz w:val="20"/>
          <w:u w:val="single"/>
        </w:rPr>
        <w:t>Chairman</w:t>
      </w:r>
      <w:r>
        <w:rPr>
          <w:rFonts w:ascii="Times New Roman" w:hAnsi="Times New Roman"/>
          <w:sz w:val="20"/>
        </w:rPr>
        <w:t xml:space="preserve">”) at the request of holders of not less than a majority of the combined voting power of the common stock, and, from and after the Trigger Event, only by or at the direction of the Board of Directors or the Chairman.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certificate of incorporation provides otherwise. Our Amended Charter precludes stockholder action by written consent from and after the Trigger Event.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could have the effect of delaying until the next stockholder meeting any stockholder actions, even if they are favored by the holders of a majority of the Company’s outstanding voting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for Stockholder Proposals and Nominations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Bylaws require stockholders seeking to bring business before our annual meeting of stockholders, or to nominate candidates for election as directors at an annual or special meeting of stockholders, to provide timely notice of their intent in writing. To be timely, a stockholder’s notice will need to be received by the Company secretary at our principal executive offices not later than the close of business on the 90th day nor earlier than the close of business on the 120th day prior to the anniversary date of the immediately preceding annual meeting of stockholders. Pursuant to Rule 14a-8 of the Exchange Act, proposals seeking inclusion in our annual proxy statement must comply with the notice periods contained therein. Our Amended Bylaws also specify certain requirements as to the form and content of such stockholder’s notice. These provisions may preclude our stockholders from bringing matters before our annual meeting of stockholders or from making nominations for directors at an annual or special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unless otherwise provided in our Amended Charter, directors serving on a classified board may be removed by the stockholders only for cause. Our Amended Charter provides that from and after the Trigger Event, directors may only be removed for cause, and only by the affirmative vote of holders of at least 66 2/3% in voting power of all the then-outstanding shares of common stock entitled to vote thereon. In addition, our Amended Charter provides that from and after the Trigger Event, any newly created directorship on our Board of Directors that results from an increase in the number of directors and any vacancy occurring in our Board of Directors may only be filled by a majority of the directors then in office, although less than a quorum, or by a sole remaining director (and not by the stockholders). The limitations on the removal of directors and filling of vacancies could make it more difficult for a third party to acquire, or discourage a third party from seeking to acquire,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Supermajority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Charter and Amended Bylaws provide that our Board of Directors is expressly authorized to alter, amend, rescind or repeal, in whole or in part, our Amended Bylaws without a stockholder vote in any matter not inconsistent with Delaware law and our Amended Charter. From and after the Trigger Event, in addition to any vote of the holders of any class or series of capital stock of the Company required by our Amended Charter, the Amended Bylaws or applicable law, any amendment, alteration, rescission or repeal of our Amended Bylaws by our stockholders will require the affirmative vote of the holders of at least 66 2/3% in voting power of all the then-outstanding shares of common stock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Charter provides that, from and after the Trigger Date, the following provisions in our Amended Charter may be amended, altered, repealed or rescinded only by the affirmative vote of the holders of at least 66 2/3% in voting power of all the then-outstanding shares of common stock entitled to vote thereon, voting together as a single class: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requiring a 66 2/3% supermajority vote for stockholders to amend our Amended Bylaws;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providing for a classified board of directors (the election and term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stockholder action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calling special meetings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filling vacancies on our Board of Directors and newly created directorships;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competition and corporate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Section 203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eliminating monetary damages for breaches of fiduciary duty by a director and governing forum selection;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amendment provision requiring that the above provisions be amended only with a 66 2/3% supermajority vote.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Selection </w:t>
      </w:r>
    </w:p>
    <w:p>
      <w:pPr>
        <w:pStyle w:val="TextBody"/>
        <w:bidi w:val="0"/>
        <w:spacing w:before="120" w:after="0"/>
        <w:jc w:val="left"/>
        <w:rPr>
          <w:rFonts w:ascii="Times New Roman" w:hAnsi="Times New Roman"/>
          <w:sz w:val="20"/>
        </w:rPr>
      </w:pPr>
      <w:r>
        <w:rPr>
          <w:rFonts w:ascii="Times New Roman" w:hAnsi="Times New Roman"/>
          <w:sz w:val="20"/>
        </w:rPr>
        <w:t>Our Amended Charter provides that unless we consent in writing to the selection of an alternative forum, the Court of Chancery of the State of Delaware (or, if that court lacks subject matter jurisdiction, another federal or state court situated in the State of Delaware) shall be the sole and exclusive forum, to the fullest extent permitted by law, for any stockholder (including a beneficial owner) for (i) any derivative action or proceeding brought on behalf of the Company, (ii) any action asserting a claim of breach of a fiduciary duty owed by any current or former director, officer or other employee or stockholder of the Company to the Company or the Company’s stockholders, creditors or other constituents, or of a claim of aiding and abetting any such breach of fiduciary duty, (iii) any action asserting a claim against the Company, its directors or officers arising pursuant to any provision of the DGCL or our Amended Charter or our Amended Bylaws, (iv) any action asserting a claim against the Company, its directors or officers governed by the internal affairs doctrine or (v) any action asserting an “internal corporate claim” as that term is defined in Section 115 of the DGCL. Notwithstanding the foregoing, our Amended Charter provides that the preceding exclusive forum provision will not apply to any actions arising under the Securities Act of 1933, as amended (the “</w:t>
      </w:r>
      <w:r>
        <w:rPr>
          <w:rFonts w:ascii="Times New Roman" w:hAnsi="Times New Roman"/>
          <w:sz w:val="20"/>
          <w:u w:val="single"/>
        </w:rPr>
        <w:t>Securities Act</w:t>
      </w:r>
      <w:r>
        <w:rPr>
          <w:rFonts w:ascii="Times New Roman" w:hAnsi="Times New Roman"/>
          <w:sz w:val="20"/>
        </w:rPr>
        <w:t xml:space="preserve">”), or the Exchange Act. Our Amended Charter also requires that unless we consent in writing to the selection of an alternative forum, the federal district court for the District of Delaware shall, to the fullest extent permitted by law, be the exclusive forum for the resolution of any complaint asserting a cause of action arising under the Securities Act. Additionally, any person or entity purchasing or otherwise acquiring any interest in shares of capital stock of the Company shall be deemed to have notice of and consented to the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The exclusive forum selection provisions may have the effect of discouraging lawsuits against our directors and officers, although our stockholders will not be deemed to have waived our compliance with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Under Section 203 of the DGCL, certain “business combinations” between a Delaware corporation whose stock is listed on a national securities exchange or held of record by more than 2,000 stockholders and an “interested stockholder” are prohibited for a three-year period following the date that such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has elected in its certificate of incorporation not to be governed by Section 203;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combination or the transaction which resulted in the stockholder becoming an interested stockholder was approved by the board of directors of the corporation before the date of the business combination or the date such stockholder became an interested stockholder,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made such stockholder an interested stockholder, the interested stockholder owned at least 85% of the “voting stock” (as defined in Section 203) of the corporation outstanding at the commencement of the transaction excluding voting stock owned by directors who are also officers or held in employee benefit plans in which the employees do not have a confidential right to tender stock held by the plan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combination is approved by the board of directors and by the stockholders (acting at a meeting and not by written consent) by the affirmative vote of at least 66-2/3% of the outstanding voting stock which is not “owned” (as defined in Section 203)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three-year prohibition also does not apply to some business combinations proposed by an interested stockholder following the announcement or notification of an extraordinary transaction involving the corporation and a person who had not been an interested stockholder during the previous three years or who became an interested stockholder with the approval of a majority of the corporation’s directors. The term “business combination” is defined generally to include mergers or consolidations between a Delaware corporation and an interested stockholder, transactions with an interested stockholder involving the assets or stock of the corporation or its majority-owned subsidiaries and transactions which increase an interested stockholder’s percentage ownership of stock, or other transaction resulting in a financial benefit to the interested stockholder. The term “interested stockholder” is defined generally as those stockholders who become beneficial owners of 15% or more of a Delaware corporation’s voting stock, together with the affiliates or associates of that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have opted out of Section 203 of the DGCL; however, our Amended Charter contains similar provisions providing that we may not engage in certain “business combinations” with any “interested stockholder” for a three-year period following the time that the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our voting stock outstanding at the time the transaction commenced, excluding certain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that time, the business combination is approved by our Board of Directors and by the affirmative vote of holders of at least 66 2/3% of our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Our Amended Charter provides that the Investors and their respective affiliates, and any of their respective direct or indirect transferees and any group as to which such persons are a party, do not constitute “interested stockholders” for purposes of this provision. These provisions also may have the effect of preventing changes in our Board of Directors and may make it more difficult to accomplish transactions which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our direct general obligations. The debt securities will be either senior debt securities or subordinated debt securities and may be secured or unsecured and may be convertible into other securities, including shares of common stock. The debt securities will be issued under one or more separate indentures between our company and a financial institution that will act as trustee. Senior debt securities will be issued under a senior indenture. Subordinated debt securities will be issued under a subordinated indenture. Each of the senior indenture and the subordinated indenture is referred to individually as an indenture and collectively as the indentures. Each of the senior debt trustee and the subordinated debt trustee is referred to individually as a trustee and collectively as the trustees. The material terms of any indenture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certain terms and provisions of the indentures. The summary is not complete. The indentures will be subject to and will be qualified under the Trust Indenture Act of 1939, as amended. The senior indenture and subordinated indenture will be substantially identical, except for the provisions relating to subordination. </w:t>
      </w:r>
    </w:p>
    <w:p>
      <w:pPr>
        <w:pStyle w:val="TextBody"/>
        <w:bidi w:val="0"/>
        <w:spacing w:before="240" w:after="0"/>
        <w:jc w:val="left"/>
        <w:rPr>
          <w:rFonts w:ascii="Times New Roman" w:hAnsi="Times New Roman"/>
          <w:sz w:val="20"/>
        </w:rPr>
      </w:pPr>
      <w:r>
        <w:rPr>
          <w:rFonts w:ascii="Times New Roman" w:hAnsi="Times New Roman"/>
          <w:sz w:val="20"/>
        </w:rPr>
        <w:t xml:space="preserve">Neither indenture will limit the amount of debt securities that we may issue. We may issue debt securities up to an aggregate principal amount as we may authorize from time to time. The applicable prospectus supplement will describe the terms of any debt securities being offered. These terms will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classification as senior 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of the specific series of debt securities relative to other outstanding indebtedness, including subsidiaries’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subordinated, the aggregate amount of outstanding indebtedness, as of a recent date, that is senior to the subordinated securities, and any limitation on the issuance of additional senior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and authorized denominations;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debt securities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at which the debt securities shall bear interest,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shall accrue, on which such interest shall be payable, and on which a record shall be taken for the determination of holders of the debt securities to whom interest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and interest shall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redeem the debt securities, in whole or in part, at our option and the period or periods within which, the price or prices at which and any terms and conditions upon which such debt securities may be so redeemed, pursuant to any sinking fund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purchase or repay any debt securities pursuant to any mandatory redemption, sinking fund or other provisions or at the option of a holder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$2,000 and any higher integral multiple of $1,000, the denominations in which the debt securities will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currency of the United States, the currency or currencies, in which payment of the principal and interest shall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global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if any, for the defeasance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any material U.S. federal income tax consequences;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specific terms, rights or limitations of, or restrictions on the debt securities, including any deletions from, modifications of or additions to the events of default or covenants described below or in the applicable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Senior Debt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under the senior indenture the debt securities that will constitute part of our senior debt. These senior debt securities will rank equally and pari passu with all our other unsecured and unsubordinated debt.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Subordinated Debt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under the subordinated indenture the debt securities that will constitute part of our subordinated debt. These subordinated debt securities will be subordinate and junior in right of payment, to the extent and in the manner set forth in the subordinated indenture, to all our “senior indebtedness.” “Senior indebtedness” will be defined in the subordinated indenture and will generally include obligations of, or guaranteed by, us for borrowed money, or as evidenced by bonds, debentures, notes or other similar instruments, or in respect of letters of credit or other similar instruments, or to pay the deferred purchase price of property or services, or as a lessee under capital leases, or as secured by a lien on any asset of ours. “Senior indebtedness” does not include the subordinated debt securities or any other obligations specifically designated as being subordinate in right of payment to, or pari passu with, the subordinated debt securities. In general, the holders of all senior indebtedness will be first entitled to receive payment in full of such senior indebtedness before the holders of any of the subordinated debt securities will be entitled to receive a payment on account of the principal or interest on the indebtedness evidenced by the subordinated debt securities in certain events. These events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insolvency or bankruptcy proceedings, or any receivership, dissolution, winding up, total or partial liquidation, reorganization or other similar proceedings in respect of us or a substantial part of our property, whether voluntary or involuntary;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 default having occurred with respect to the payment of principal or interest on or other monetary amounts due and payable with respect to any senior indebtedness or (ii) an event of default (other than a default described in clause (i) above) having occurred with respect to any senior indebtedness that permits the holder or holders of such senior indebtedness to accelerate the maturity of such senior indebtedness. Such a default or event of default must have continued beyond the period of grace, if any, provided in respect of such default or event of default, and such a default or event of default shall not have been cured or waived or shall not have ceased to exist;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of, and accrued interest on, any series of the subordinated debt securities having been declared due and payable upon an event of default pursuant to the subordinated indenture. This declaration must not have been rescinded and annulled as provided in the subordinated indenture.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Authentication and Delivery </w:t>
      </w:r>
    </w:p>
    <w:p>
      <w:pPr>
        <w:pStyle w:val="TextBody"/>
        <w:bidi w:val="0"/>
        <w:spacing w:before="120" w:after="0"/>
        <w:jc w:val="left"/>
        <w:rPr>
          <w:rFonts w:ascii="Times New Roman" w:hAnsi="Times New Roman"/>
          <w:sz w:val="20"/>
        </w:rPr>
      </w:pPr>
      <w:r>
        <w:rPr>
          <w:rFonts w:ascii="Times New Roman" w:hAnsi="Times New Roman"/>
          <w:sz w:val="20"/>
        </w:rPr>
        <w:t xml:space="preserve">We will deliver the debt securities to the trustee for authentication, and the trustee will authenticate and deliver the debt securities upon our written order. </w:t>
      </w:r>
    </w:p>
    <w:p>
      <w:pPr>
        <w:pStyle w:val="TextBody"/>
        <w:bidi w:val="0"/>
        <w:spacing w:before="240" w:after="0"/>
        <w:jc w:val="left"/>
        <w:rPr>
          <w:rFonts w:ascii="Times New Roman" w:hAnsi="Times New Roman"/>
          <w:b/>
          <w:sz w:val="20"/>
        </w:rPr>
      </w:pPr>
      <w:r>
        <w:rPr>
          <w:rFonts w:ascii="Times New Roman" w:hAnsi="Times New Roman"/>
          <w:b/>
          <w:sz w:val="20"/>
        </w:rPr>
        <w:t xml:space="preserve">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When we use the term “Event of Default” in the indentures with respect to the debt securities of any series, set forth below are some examples of what we mean: </w:t>
      </w:r>
    </w:p>
    <w:p>
      <w:pPr>
        <w:pStyle w:val="TextBody"/>
        <w:bidi w:val="0"/>
        <w:spacing w:before="240" w:after="0"/>
        <w:jc w:val="left"/>
        <w:rPr>
          <w:rFonts w:ascii="Times New Roman" w:hAnsi="Times New Roman"/>
          <w:sz w:val="20"/>
        </w:rPr>
      </w:pPr>
      <w:r>
        <w:rPr>
          <w:rFonts w:ascii="Times New Roman" w:hAnsi="Times New Roman"/>
          <w:sz w:val="20"/>
        </w:rPr>
        <w:t xml:space="preserve">(1) default in the payment of the principal on the debt securities when it becomes due and payable at maturity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default in the payment of interest on the debt securities when it becomes due and payable, and such default continues for a period of 30 days; </w:t>
      </w:r>
    </w:p>
    <w:p>
      <w:pPr>
        <w:pStyle w:val="TextBody"/>
        <w:bidi w:val="0"/>
        <w:spacing w:before="120" w:after="0"/>
        <w:jc w:val="left"/>
        <w:rPr>
          <w:rFonts w:ascii="Times New Roman" w:hAnsi="Times New Roman"/>
          <w:sz w:val="20"/>
        </w:rPr>
      </w:pPr>
      <w:r>
        <w:rPr>
          <w:rFonts w:ascii="Times New Roman" w:hAnsi="Times New Roman"/>
          <w:sz w:val="20"/>
        </w:rPr>
        <w:t xml:space="preserve">(3) default in the performance, or breach, of any covenant in the indenture (other than defaults specified in clauses (1) or (2) above) and the default or breach continues for a period of 90 consecutive days or more after written notice to us by the trustee or to us and the trustee by the holders of 25% or more in aggregate principal amount of the outstanding debt securities of all series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(4) the occurrence of certain events of bankruptcy, insolvency, or similar proceedings with respect to us or any substantial part of our property; or </w:t>
      </w:r>
    </w:p>
    <w:p>
      <w:pPr>
        <w:pStyle w:val="TextBody"/>
        <w:bidi w:val="0"/>
        <w:spacing w:before="120" w:after="0"/>
        <w:jc w:val="left"/>
        <w:rPr>
          <w:rFonts w:ascii="Times New Roman" w:hAnsi="Times New Roman"/>
          <w:sz w:val="20"/>
        </w:rPr>
      </w:pPr>
      <w:r>
        <w:rPr>
          <w:rFonts w:ascii="Times New Roman" w:hAnsi="Times New Roman"/>
          <w:sz w:val="20"/>
        </w:rPr>
        <w:t xml:space="preserve">(5) any other Events of Default that may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clause (4) above) with respect to the debt securities of any series then outstanding occurs and is continuing, then either the trustee or the holders of not less than 25% in principal amount of the securities of all such series then outstanding in respect of which an Event of Default has occurred may by notice in writing to us declare the entire principal amount of all debt securities of the affected series, and accrued interest, if any, to be due and payable immediately, and upon any such declaration the same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described in clause (4) above occurs and is continuing, then the principal amount of all the debt securities then outstanding and accrued interest shall be and become due immediately and payable without any declaration, notice or other action by any holder of the debt securities or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within 90 days after the occurrence of any default actually known to it, give notice of the default to the holders of the debt securities of that series, unless the default was already cured or waived. Unless there is a default in paying principal or interest when due, the trustee can withhold giving notice to the holders if it determines in good faith that the withholding of notice is in the interest of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Discharge and Defeasance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will provide that we may discharge our obligations under it, except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registration of transfer and exchange of debt securities, and our right of optional redemption,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substitution of mutilated, defaced, destroyed, lost or stolen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the debt securities to receive payments of principal and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obligations and immunities of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the holders of the debt securities as beneficiaries with respect to the property deposited with the trustee payable to them (as described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debt securities of any series issued that have been authenticated and delivered have been delivered by us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debt securities of any series issued that have not been delivered by us to the trustee for cancellation have become due and payable or will become due and payable within one year or are to be called for redemption within one year under arrangements satisfactory to the trustee for the giving of notice of redemption by such trustee in our name and at our expense, and we have irrevocably deposited or caused to be deposited with the trustee as trust funds the entire amount sufficient to pay at maturity or upon redemption all debt securities of such series not delivered to the trustee for cancellation, including principal and interest due or to become due on or prior to such date of maturity or redemption;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then due and payable under such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under such indenture relating to the satisfaction and discharge of such indenture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In addition, unless the applicable prospectus supplement and supplemental indenture otherwise provide, the indenture will provide that we may elect either (i) to have our obligations under the applicable indenture discharged with respect to the outstanding debt securities of any series (“</w:t>
      </w:r>
      <w:r>
        <w:rPr>
          <w:rFonts w:ascii="Times New Roman" w:hAnsi="Times New Roman"/>
          <w:sz w:val="20"/>
          <w:u w:val="single"/>
        </w:rPr>
        <w:t>legal</w:t>
      </w:r>
      <w:r>
        <w:rPr>
          <w:rFonts w:ascii="Times New Roman" w:hAnsi="Times New Roman"/>
          <w:sz w:val="20"/>
        </w:rPr>
        <w:t xml:space="preserve"> </w:t>
      </w:r>
      <w:r>
        <w:rPr>
          <w:rFonts w:ascii="Times New Roman" w:hAnsi="Times New Roman"/>
          <w:sz w:val="20"/>
          <w:u w:val="single"/>
        </w:rPr>
        <w:t>defeasance</w:t>
      </w:r>
      <w:r>
        <w:rPr>
          <w:rFonts w:ascii="Times New Roman" w:hAnsi="Times New Roman"/>
          <w:sz w:val="20"/>
        </w:rPr>
        <w:t>”) or (ii) to be released from our obligations under the applicable indenture with respect to certain covenants applicable to the outstanding debt securities of any series (“</w:t>
      </w:r>
      <w:r>
        <w:rPr>
          <w:rFonts w:ascii="Times New Roman" w:hAnsi="Times New Roman"/>
          <w:sz w:val="20"/>
          <w:u w:val="single"/>
        </w:rPr>
        <w:t>covenant defeasance</w:t>
      </w:r>
      <w:r>
        <w:rPr>
          <w:rFonts w:ascii="Times New Roman" w:hAnsi="Times New Roman"/>
          <w:sz w:val="20"/>
        </w:rPr>
        <w:t xml:space="preserve">”). Legal defeasance means that we will be deemed to have paid and discharged the entire indebtedness represented by the outstanding debt securities of such series under such indenture and covenant defeasance means that we will no longer be required to comply with the obligations with respect to such covenants (and an omission to comply with such obligations will not constitute a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legal defeasance or covenant defeasance with respect to outstanding debt securities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irrevocably have deposited or caused to be deposited with the trustee as trust funds in trust for the purpose of making the following payments, specifically pledged as security for, and dedicated solely to the benefits of the holders of the debt securities of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in an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government obligations;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money and U.S. government obligations,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sufficient without reinvestment, in the written opinion of a nationally recognized firm of independent public accountants, to pay and discharge, and which shall be applied by the trustee to pay and discharge, all of the principal and interest at due date or maturity or if we have made irrevocable arrangements satisfactory to the trustee for the giving of notice of redemption by the trustee, the redemption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opinion of counsel stating that, under then applicable U.S. federal income tax law, the holders of the debt securities of that series will not recognize gain or loss for U.S. federal income tax purposes as a result of the defeasance and will be subject to the same federal income tax as would be the case if the defeasance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relating to bankruptcy or insolvency and, in the case of a covenant defeasance, no other default has occurred and is continuing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such time the debt securities of such series are listed on a national securities exchange, we have delivered to the trustee an opinion of counsel to the effect that the debt securities of such series will not be delisted as a result of such defeasance;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stating that all conditions precedent with respect to the defeasance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be required to furnish to each trustee an annual statement as to compliance with all conditions and covenants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321536_7"/>
      <w:bookmarkEnd w:id="21"/>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common stock, debt securities,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Any such warrant agent will act solely as our agent in connection with the warrants of such series and will not assume any obligation or relationship of agency or trust with any of the holders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warrants we offer will include specific terms relating to the offering, the terms of the warrants and any applicable warrant agreements. These terms will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number and terms of the shares of common stock, debt securities, or other securities purchasable upon exercise of the warrants and procedures by which those numbers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or periods during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securities with which the warrants are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warrants are issued as a unit with another security, the date on and after which the warrants and the other security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exercise price is not payable in U.S. dollars, the foreign currency, currency unit or composite currency in which the exercise price is denominated;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minimum or maximum amount of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relating to the modification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the material U.S. income tax considerations applicable to the issuance or exercise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and adjustment of share capital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circumstances that will cause the warrants to be deemed to be automatically exercised;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procedures and limitations relating to the transferability, exchange or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321536_8"/>
      <w:bookmarkEnd w:id="22"/>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rights to purchase any of our securities or any combination thereof. Rights may be issued independently or together with any other offered security and may or may not be transferable by the person purchasing or receiving the rights. The rights may be issued independently or together with any other security offered hereby and may or may not be transferable by the stockholder receiving the subscription rights in such offering. In connection with any rights offering to our stockholders, we may enter into a standby underwriting arrangement with one or more underwriters pursuant to which such underwriters will purchase any offered securities remaining unsubscribed for after such rights offering. We may also appoint a rights agent that may act solely as our agent in connection with the rights that are sold. Any such agent will not assume any obligation or relationship of agency or trust with any of the holders of the rights. In connection with a rights offering to our stockholders, we will distribute certificates evidencing the rights and a prospectus supplement to our stockholders on the record date that we set for receiving rights in such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following terms of rights in respect of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if any, for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for which such rights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for such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such rights issued with respect to each share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the material U.S. income tax considerations applicable to the issuance or exercise of such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rights shall commence, and the date on which such rights shall expire (subject to any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rights include an over-subscription privilege with respect to unsubscribed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other purchase arrangement, or any agency agreement, that we may enter into in connection with the rights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rights, including terms, procedures and limitations relating to the exchange and exercise of such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321536_9"/>
      <w:bookmarkEnd w:id="23"/>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As specified in the applicable prospectus supplement, we may issue units consisting of one or more shares of common stock, debt securities, warrants, rights or any combination of such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and of the shares of common stock, debt securities, warrants and/ or rights comprising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terms of any unit agreement governing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provisions for the payment, settlement, transfer or exchange of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provisions of the governing unit agreement that differ from those described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321536_10"/>
      <w:bookmarkEnd w:id="24"/>
      <w:r>
        <w:rPr>
          <w:rFonts w:ascii="Times New Roman" w:hAnsi="Times New Roman"/>
          <w:b/>
          <w:sz w:val="20"/>
        </w:rPr>
        <w:t xml:space="preserve">FORMS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and warrant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240" w:after="0"/>
        <w:jc w:val="left"/>
        <w:rPr>
          <w:rFonts w:ascii="Times New Roman" w:hAnsi="Times New Roman"/>
          <w:b/>
          <w:sz w:val="20"/>
        </w:rPr>
      </w:pPr>
      <w:r>
        <w:rPr>
          <w:rFonts w:ascii="Times New Roman" w:hAnsi="Times New Roman"/>
          <w:b/>
          <w:sz w:val="20"/>
        </w:rPr>
        <w:t xml:space="preserve">Registered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registered debt securities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Aveanna, its affiliates, the trustees, the warrant agents or any other agent of us, agent of the trustees or agent of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321536_11"/>
      <w:bookmarkEnd w:id="25"/>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including their transferees, pledgees, donees or their respective successors may from time to time offer and sell, pursuant to this prospectus and the applicable prospectus supplement, up to an aggregate of 54,431,349 shares of common stock that were issued and outstanding prior to the original date of filing of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If any selling stockholder offers and sells shares of common stock pursuant to this prospectus, then we will provide you with a prospectus supplement filed pursuant to Securities Act Rule 424(b)(7), as permitted by Rule 430B(b)(2), which will set forth the name of each selling stockholder, the number of shares of common stock beneficially owned by such selling stockholder and the number of the shares of common stock such selling stockholder is offering. The prospectus supplement also will disclose whether any of the selling stockholders have held any position or office with, have been employed by or otherwise have had a material relationship with us during the three years prior to the date of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covered by this prospectus acquired their respective shares of common stock in connection with various transactions prior to, and in advance of, our April 2021 initial public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321536_12"/>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or the selling stockholders may sell the securities from time to time pursuant to underwritten public offerings, “at-the-market” offerings, negotiated transactions, block trades or a combination of these methods. We or the selling stockholders may sell the securities to or through one or more underwriters or dealers (acting as principal or agent),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and number of shares of our common stock being sold by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we will receive from the sale,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may purchase additional securities from us or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all or a portion of the shares of common stock described in this prospectus and any accompanying prospectus supplement and there can be no assurance that any selling stockholder will sell any or all of the shares of common stock described in this prospectus or any accompanying prospectus supplement. The selling stockholders may act independently of us in making decisions with respect to the timing, manner and size of each of its sales.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methods described above, the selling stockholders may use any one or more of the following methods when disposing of their respective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national securities exchange or quotation service on which the common stock may be listed or quoted at the time of sale, including the Nasdaq Global Select Market, on which the common stock is currently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otherwise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writing of options,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of common stock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 which broker-dealers may agree with the selling stockholders to sell a specified number of shares of common stock at a stipulated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selling its shares of common stock under this prospectus, a selling stockholder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its common stock in other ways not involving market maker or established trading markets, including directly by gift, distribution, or other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its common stock under Rule 144 or Rule 145 of the Securities Act rather than under this prospectus, if the transaction meets the requirements of Rule 144 or Rule 145;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its common stock by any other legally available means.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Additionally, the selling stockholders may be deemed to be “underwriters” within the meaning of the Securities Act with respect to the shares of common stock they are offering for resale.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stockholders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the selling stockholders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use underwriters, dealers or agents with whom we or any of the selling stockholders have a material relationship. In the applicable prospectus supplement, we will name the underwriter, dealer or agent and describe the nature of any such relationship. We or any of the selling stockholders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or a selling stockholder may directly solicit offers to purchase the securities and we or a selling stockholder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 </w:t>
      </w:r>
    </w:p>
    <w:p>
      <w:pPr>
        <w:pStyle w:val="TextBody"/>
        <w:bidi w:val="0"/>
        <w:spacing w:before="240" w:after="0"/>
        <w:jc w:val="left"/>
        <w:rPr>
          <w:rFonts w:ascii="Times New Roman" w:hAnsi="Times New Roman"/>
          <w:sz w:val="20"/>
        </w:rPr>
      </w:pPr>
      <w:r>
        <w:rPr>
          <w:rFonts w:ascii="Times New Roman" w:hAnsi="Times New Roman"/>
          <w:sz w:val="20"/>
        </w:rPr>
        <w:t xml:space="preserve">We or any of the selling stockholders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or any of the selling stockholders in the ordinary course of business. If required, the prospectus supplement will describe the terms and conditions of the indemnification or contribution.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laws of some states, the securities offered by this prospectus may be sold in those states only through registered or licensed brokers or dealers. </w:t>
      </w:r>
    </w:p>
    <w:p>
      <w:pPr>
        <w:pStyle w:val="TextBody"/>
        <w:bidi w:val="0"/>
        <w:spacing w:before="240" w:after="0"/>
        <w:jc w:val="left"/>
        <w:rPr>
          <w:rFonts w:ascii="Times New Roman" w:hAnsi="Times New Roman"/>
          <w:sz w:val="20"/>
        </w:rPr>
      </w:pPr>
      <w:r>
        <w:rPr>
          <w:rFonts w:ascii="Times New Roman" w:hAnsi="Times New Roman"/>
          <w:sz w:val="20"/>
        </w:rPr>
        <w:t xml:space="preserve">An underwriter may engage in over-allotment, stabilizing transactions, short covering transactions and penalty bids in accordance with securities laws. Over-allotment involves sales in excess of the offering size, which creates a short position. Stabilizing transactions permit bidders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may engage in these activities on any exchange or other market in which the securities may be traded. If commenced, the underwriters may discontinue these activities at any time. We will describe any such activities in the prospectus supplement relating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of securities registered under the registration statement, of which this prospectus forms a part, may not, subject to certain exceptions,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321536_13"/>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the validity of the securities offered under this prospectus will be passed upon for us by Greenberg Traurig, LLP. </w:t>
      </w:r>
    </w:p>
    <w:p>
      <w:pPr>
        <w:pStyle w:val="TextBody"/>
        <w:bidi w:val="0"/>
        <w:spacing w:before="480" w:after="0"/>
        <w:jc w:val="center"/>
        <w:rPr>
          <w:rFonts w:ascii="Times New Roman" w:hAnsi="Times New Roman"/>
          <w:b/>
          <w:sz w:val="20"/>
        </w:rPr>
      </w:pPr>
      <w:bookmarkStart w:id="28" w:name="tx321536_14"/>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Company appearing in our Annual Report on Form 10-K for the year ended December 30, 2023, and the effectiveness of our internal control over financial reporting as of December 30, 2023, have been audited by Ernst &amp; Young LLP, independent registered public accounting firm, as set forth in their reports thereon, which conclude, among other things, that we did not maintain effective internal control over financial reporting as of December 30, 2023, based on Internal Control—Integrated Framework issued by the Committee of Sponsoring Organizations of the Treadway Commission (2013 framework), because of the effects of the material weakness described therein, included therein, and incorporated herein by reference. Such financial statements and our management’s assessment of the effectiveness of internal control over financial reporting as of December 30, 2023 (which concludes, among other things, that we did not maintain effective internal control over financial reporting as of December 30, 2023, based on Internal Control—Integrated Framework issued by the Committee of Sponsoring Organizations of the Treadway Commission (2013 framework), because of the effects of the material weakness described therein) are, and audited financial statements and our management’s assessment of internal control over financial reporting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321536_15"/>
      <w:bookmarkEnd w:id="29"/>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to those documents. We hereby “incorporate by reference” the documents listed below, which means that we are disclosing important information to you by referring you to those documents.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8">
              <w:r>
                <w:rPr>
                  <w:rStyle w:val="InternetLink"/>
                  <w:rFonts w:ascii="Times New Roman" w:hAnsi="Times New Roman"/>
                  <w:sz w:val="20"/>
                </w:rPr>
                <w:t xml:space="preserve">Form 10-K </w:t>
              </w:r>
            </w:hyperlink>
            <w:r>
              <w:rPr>
                <w:rFonts w:ascii="Times New Roman" w:hAnsi="Times New Roman"/>
                <w:sz w:val="20"/>
              </w:rPr>
              <w:t xml:space="preserve">for the fiscal year ended December 30, 2023 filed with the SEC on March 14,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quarters ended March 30, 2024 and June 29, 2024, filed with the SEC on </w:t>
            </w:r>
            <w:hyperlink r:id="rId19">
              <w:r>
                <w:rPr>
                  <w:rStyle w:val="InternetLink"/>
                  <w:rFonts w:ascii="Times New Roman" w:hAnsi="Times New Roman"/>
                  <w:sz w:val="20"/>
                </w:rPr>
                <w:t>May  9, 2024</w:t>
              </w:r>
            </w:hyperlink>
            <w:r>
              <w:rPr>
                <w:rFonts w:ascii="Times New Roman" w:hAnsi="Times New Roman"/>
                <w:sz w:val="20"/>
              </w:rPr>
              <w:t xml:space="preserve"> and </w:t>
            </w:r>
            <w:hyperlink r:id="rId20">
              <w:r>
                <w:rPr>
                  <w:rStyle w:val="InternetLink"/>
                  <w:rFonts w:ascii="Times New Roman" w:hAnsi="Times New Roman"/>
                  <w:sz w:val="20"/>
                </w:rPr>
                <w:t>August 8, 2024</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21">
              <w:r>
                <w:rPr>
                  <w:rStyle w:val="InternetLink"/>
                  <w:rFonts w:ascii="Times New Roman" w:hAnsi="Times New Roman"/>
                  <w:sz w:val="20"/>
                </w:rPr>
                <w:t>January  17, 2024</w:t>
              </w:r>
            </w:hyperlink>
            <w:r>
              <w:rPr>
                <w:rFonts w:ascii="Times New Roman" w:hAnsi="Times New Roman"/>
                <w:sz w:val="20"/>
              </w:rPr>
              <w:t xml:space="preserve">, </w:t>
            </w:r>
            <w:hyperlink r:id="rId22">
              <w:r>
                <w:rPr>
                  <w:rStyle w:val="InternetLink"/>
                  <w:rFonts w:ascii="Times New Roman" w:hAnsi="Times New Roman"/>
                  <w:sz w:val="20"/>
                </w:rPr>
                <w:t xml:space="preserve">May  17, 2024 </w:t>
              </w:r>
            </w:hyperlink>
            <w:r>
              <w:rPr>
                <w:rFonts w:ascii="Times New Roman" w:hAnsi="Times New Roman"/>
                <w:sz w:val="20"/>
              </w:rPr>
              <w:t xml:space="preserve">and </w:t>
            </w:r>
            <w:hyperlink r:id="rId23">
              <w:r>
                <w:rPr>
                  <w:rStyle w:val="InternetLink"/>
                  <w:rFonts w:ascii="Times New Roman" w:hAnsi="Times New Roman"/>
                  <w:sz w:val="20"/>
                </w:rPr>
                <w:t>June 5,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24">
              <w:r>
                <w:rPr>
                  <w:rStyle w:val="InternetLink"/>
                  <w:rFonts w:ascii="Times New Roman" w:hAnsi="Times New Roman"/>
                  <w:sz w:val="20"/>
                </w:rPr>
                <w:t xml:space="preserve">Definitive Proxy Statement on Schedule 14A </w:t>
              </w:r>
            </w:hyperlink>
            <w:r>
              <w:rPr>
                <w:rFonts w:ascii="Times New Roman" w:hAnsi="Times New Roman"/>
                <w:sz w:val="20"/>
              </w:rPr>
              <w:t xml:space="preserve">filed in connection with our Annual Meeting of Stockholders held on May 16, 2024, filed with the SEC on April 1, 2024 (solely to the extent incorporated by reference into Part III of our Annual Report on Form 10-K for the fiscal year ended December 30,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Registration Statement on </w:t>
            </w:r>
            <w:hyperlink r:id="rId25">
              <w:r>
                <w:rPr>
                  <w:rStyle w:val="InternetLink"/>
                  <w:rFonts w:ascii="Times New Roman" w:hAnsi="Times New Roman"/>
                  <w:sz w:val="20"/>
                </w:rPr>
                <w:t>Form 8-A</w:t>
              </w:r>
            </w:hyperlink>
            <w:hyperlink r:id="rId26">
              <w:r>
                <w:rPr>
                  <w:rStyle w:val="InternetLink"/>
                  <w:rFonts w:ascii="Times New Roman" w:hAnsi="Times New Roman"/>
                  <w:sz w:val="20"/>
                  <w:u w:val="single"/>
                </w:rPr>
                <w:t xml:space="preserve"> </w:t>
              </w:r>
            </w:hyperlink>
            <w:r>
              <w:rPr>
                <w:rFonts w:ascii="Times New Roman" w:hAnsi="Times New Roman"/>
                <w:sz w:val="20"/>
              </w:rPr>
              <w:t xml:space="preserve">filed with the Commission on April 26, 2021 (File No. 001-40362), in which there is described the terms, rights and provisions applicable to the shares of the Common Stock, including any amendment or report filed for the purpose of updating such description, including the description of the common stock filed as </w:t>
            </w:r>
            <w:hyperlink r:id="rId27">
              <w:r>
                <w:rPr>
                  <w:rStyle w:val="InternetLink"/>
                  <w:rFonts w:ascii="Times New Roman" w:hAnsi="Times New Roman"/>
                  <w:sz w:val="20"/>
                </w:rPr>
                <w:t>Exhibit 4.1</w:t>
              </w:r>
            </w:hyperlink>
            <w:hyperlink r:id="rId28">
              <w:r>
                <w:rPr>
                  <w:rStyle w:val="InternetLink"/>
                  <w:rFonts w:ascii="Times New Roman" w:hAnsi="Times New Roman"/>
                  <w:sz w:val="20"/>
                  <w:u w:val="single"/>
                </w:rPr>
                <w:t xml:space="preserve"> </w:t>
              </w:r>
            </w:hyperlink>
            <w:r>
              <w:rPr>
                <w:rFonts w:ascii="Times New Roman" w:hAnsi="Times New Roman"/>
                <w:sz w:val="20"/>
              </w:rPr>
              <w:t xml:space="preserve">to our Annual Report on Form 10-K filed on March 28, 2022.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us pursuant to Sections 13(a), 13(c), 14 or 15(d) of the Exchange Act (not including any information furnished under Item 2.02, 7.01 or 9.01 of Form 8-K or any other information that is identified as “furnished” rather than filed, which information is not incorporated by reference herein),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deemed to be incorporated by reference herein, modifies or supersedes such statement. Any statement so modified or superseded shall not be deemed, except as so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stockholder, to whom a prospectus is delivered, upon written or oral request of that person, a copy of any and all of the information that has been incorporated by reference in this prospectus (excluding exhibits unless specifically incorporated by reference into those documents). Please direct requests to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Aveanna Healthcare Holdings Inc. </w:t>
      </w:r>
    </w:p>
    <w:p>
      <w:pPr>
        <w:pStyle w:val="TextBody"/>
        <w:bidi w:val="0"/>
        <w:spacing w:before="0" w:after="0"/>
        <w:jc w:val="center"/>
        <w:rPr>
          <w:rFonts w:ascii="Times New Roman" w:hAnsi="Times New Roman"/>
          <w:sz w:val="20"/>
        </w:rPr>
      </w:pPr>
      <w:r>
        <w:rPr>
          <w:rFonts w:ascii="Times New Roman" w:hAnsi="Times New Roman"/>
          <w:sz w:val="20"/>
        </w:rPr>
        <w:t xml:space="preserve">400 Interstate North Parkway SE </w:t>
      </w:r>
    </w:p>
    <w:p>
      <w:pPr>
        <w:pStyle w:val="TextBody"/>
        <w:bidi w:val="0"/>
        <w:spacing w:before="0" w:after="0"/>
        <w:jc w:val="center"/>
        <w:rPr>
          <w:rFonts w:ascii="Times New Roman" w:hAnsi="Times New Roman"/>
          <w:sz w:val="20"/>
        </w:rPr>
      </w:pPr>
      <w:r>
        <w:rPr>
          <w:rFonts w:ascii="Times New Roman" w:hAnsi="Times New Roman"/>
          <w:sz w:val="20"/>
        </w:rPr>
        <w:t xml:space="preserve">Suite 1600 </w:t>
      </w:r>
    </w:p>
    <w:p>
      <w:pPr>
        <w:pStyle w:val="TextBody"/>
        <w:bidi w:val="0"/>
        <w:spacing w:before="0" w:after="0"/>
        <w:jc w:val="center"/>
        <w:rPr>
          <w:rFonts w:ascii="Times New Roman" w:hAnsi="Times New Roman"/>
          <w:sz w:val="20"/>
        </w:rPr>
      </w:pPr>
      <w:r>
        <w:rPr>
          <w:rFonts w:ascii="Times New Roman" w:hAnsi="Times New Roman"/>
          <w:sz w:val="20"/>
        </w:rPr>
        <w:t xml:space="preserve">Atlanta, Georgia 30339 </w:t>
      </w:r>
    </w:p>
    <w:p>
      <w:pPr>
        <w:pStyle w:val="TextBody"/>
        <w:bidi w:val="0"/>
        <w:spacing w:before="0" w:after="0"/>
        <w:jc w:val="center"/>
        <w:rPr>
          <w:rFonts w:ascii="Times New Roman" w:hAnsi="Times New Roman"/>
          <w:sz w:val="20"/>
        </w:rPr>
      </w:pPr>
      <w:r>
        <w:rPr>
          <w:rFonts w:ascii="Times New Roman" w:hAnsi="Times New Roman"/>
          <w:sz w:val="20"/>
        </w:rPr>
        <w:t xml:space="preserve">(770) 441-1580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321536_16"/>
      <w:bookmarkEnd w:id="3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hAnsi="Times New Roman"/>
          <w:sz w:val="20"/>
          <w:u w:val="single"/>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www.aveanna.com. The information contained on, or accessible through, our website is not incorporated into this prospectus and does not form a part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15,000,000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505075" cy="1352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2505075" cy="135255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Aveanna Healthcare Holdings Inc. </w:t>
      </w:r>
    </w:p>
    <w:p>
      <w:pPr>
        <w:pStyle w:val="TextBody"/>
        <w:bidi w:val="0"/>
        <w:spacing w:before="480" w:after="0"/>
        <w:jc w:val="center"/>
        <w:rPr>
          <w:rFonts w:ascii="Times New Roman" w:hAnsi="Times New Roman"/>
          <w:b/>
          <w:sz w:val="32"/>
        </w:rPr>
      </w:pPr>
      <w:r>
        <w:rPr>
          <w:rFonts w:ascii="Times New Roman" w:hAnsi="Times New Roman"/>
          <w:b/>
          <w:sz w:val="32"/>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40" w:after="0"/>
        <w:jc w:val="center"/>
        <w:rPr>
          <w:rFonts w:ascii="Times New Roman" w:hAnsi="Times New Roman"/>
          <w:b/>
          <w:sz w:val="32"/>
        </w:rPr>
      </w:pPr>
      <w:r>
        <w:rPr>
          <w:rFonts w:ascii="Times New Roman" w:hAnsi="Times New Roman"/>
          <w:b/>
          <w:sz w:val="32"/>
        </w:rPr>
        <w:t xml:space="preserve">RBC Capital Markets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32332/000119312526115851/avah-20260103.htm" TargetMode="External"/><Relationship Id="rId4" Type="http://schemas.openxmlformats.org/officeDocument/2006/relationships/hyperlink" Target="http://www.sec.gov/Archives/edgar/data/../../../ix?doc=/Archives/edgar/data/0001832332/000119312526222736/avah-20260404.htm" TargetMode="External"/><Relationship Id="rId5" Type="http://schemas.openxmlformats.org/officeDocument/2006/relationships/hyperlink" Target="http://www.sec.gov/Archives/edgar/data/../../../ix?doc=/Archives/edgar/data/0001832332/000119312526347842/avah-20260704.htm" TargetMode="External"/><Relationship Id="rId6" Type="http://schemas.openxmlformats.org/officeDocument/2006/relationships/hyperlink" Target="http://www.sec.gov/Archives/edgar/data/../../../ix?doc=/Archives/edgar/data/0001832332/000119312526061523/avah-20260217.htm" TargetMode="External"/><Relationship Id="rId7" Type="http://schemas.openxmlformats.org/officeDocument/2006/relationships/hyperlink" Target="http://www.sec.gov/Archives/edgar/data/../../../ix?doc=/Archives/edgar/data/0001832332/000119312526082823/avah-20260227.htm" TargetMode="External"/><Relationship Id="rId8" Type="http://schemas.openxmlformats.org/officeDocument/2006/relationships/hyperlink" Target="http://www.sec.gov/Archives/edgar/data/../../../ix?doc=/Archives/edgar/data/0001832332/000119312526103067/avah-20260309.htm" TargetMode="External"/><Relationship Id="rId9" Type="http://schemas.openxmlformats.org/officeDocument/2006/relationships/hyperlink" Target="http://www.sec.gov/Archives/edgar/data/../../../ix?doc=/Archives/edgar/data/0001832332/000119312526243028/avah-20260526.htm" TargetMode="External"/><Relationship Id="rId10" Type="http://schemas.openxmlformats.org/officeDocument/2006/relationships/hyperlink" Target="http://www.sec.gov/Archives/edgar/data/../../../ix?doc=/Archives/edgar/data/0001832332/000119312526248323/avah-20260529.htm" TargetMode="External"/><Relationship Id="rId11" Type="http://schemas.openxmlformats.org/officeDocument/2006/relationships/hyperlink" Target="http://www.sec.gov/Archives/edgar/data/../../../ix?doc=/Archives/edgar/data/0001832332/000119312526252511/avah-20260601.htm" TargetMode="External"/><Relationship Id="rId12" Type="http://schemas.openxmlformats.org/officeDocument/2006/relationships/hyperlink" Target="http://www.sec.gov/Archives/edgar/data/../../../ix?doc=/Archives/edgar/data/0001832332/000119312526340409/avah-20260805.htm" TargetMode="External"/><Relationship Id="rId13" Type="http://schemas.openxmlformats.org/officeDocument/2006/relationships/hyperlink" Target="http://www.sec.gov/Archives/edgar/data/../../../ix?doc=/Archives/edgar/data/0001832332/000119312526161632/d798829ddef14a.htm" TargetMode="External"/><Relationship Id="rId14" Type="http://schemas.openxmlformats.org/officeDocument/2006/relationships/hyperlink" Target="http://www.sec.gov/Archives/edgar/data/../../../ix?doc=/Archives/edgar/data/0001832332/000119312526115851/avah-20260103.htm" TargetMode="External"/><Relationship Id="rId15" Type="http://schemas.openxmlformats.org/officeDocument/2006/relationships/hyperlink" Target="http://www.sec.gov/Archives/edgar/data/1832332/000119312521131262/d170155d8a12b.htm" TargetMode="External"/><Relationship Id="rId16" Type="http://schemas.openxmlformats.org/officeDocument/2006/relationships/hyperlink" Target="http://www.sec.gov/Archives/edgar/data/1832332/000095017022004799/avah-ex4_1.htm" TargetMode="External"/><Relationship Id="rId17" Type="http://schemas.openxmlformats.org/officeDocument/2006/relationships/image" Target="media/image2.jpeg"/><Relationship Id="rId18" Type="http://schemas.openxmlformats.org/officeDocument/2006/relationships/hyperlink" Target="http://www.sec.gov/Archives/edgar/data/1832332/000095017024031321/avah-20231230.htm" TargetMode="External"/><Relationship Id="rId19" Type="http://schemas.openxmlformats.org/officeDocument/2006/relationships/hyperlink" Target="http://www.sec.gov/Archives/edgar/data/1832332/000095017024056215/avah-20240330.htm" TargetMode="External"/><Relationship Id="rId20" Type="http://schemas.openxmlformats.org/officeDocument/2006/relationships/hyperlink" Target="http://www.sec.gov/Archives/edgar/data/1832332/000095017024093268/avah-20240629.htm" TargetMode="External"/><Relationship Id="rId21" Type="http://schemas.openxmlformats.org/officeDocument/2006/relationships/hyperlink" Target="http://www.sec.gov/Archives/edgar/data/1832332/000095017024004820/avah-20240115.htm" TargetMode="External"/><Relationship Id="rId22" Type="http://schemas.openxmlformats.org/officeDocument/2006/relationships/hyperlink" Target="http://www.sec.gov/Archives/edgar/data/1832332/000095017024061484/avah-20240516.htm" TargetMode="External"/><Relationship Id="rId23" Type="http://schemas.openxmlformats.org/officeDocument/2006/relationships/hyperlink" Target="http://www.sec.gov/Archives/edgar/data/1832332/000095017024069243/avah-20240531.htm" TargetMode="External"/><Relationship Id="rId24" Type="http://schemas.openxmlformats.org/officeDocument/2006/relationships/hyperlink" Target="http://www.sec.gov/Archives/edgar/data/1832332/000119312524083472/d896155ddefa14a.htm" TargetMode="External"/><Relationship Id="rId25" Type="http://schemas.openxmlformats.org/officeDocument/2006/relationships/hyperlink" Target="http://www.sec.gov/Archives/edgar/data/1832332/000119312521131262/d170155d8a12b.htm" TargetMode="External"/><Relationship Id="rId26" Type="http://schemas.openxmlformats.org/officeDocument/2006/relationships/hyperlink" Target="http://www.sec.gov/Archives/edgar/data/1832332/000119312521131262/d170155d8a12b.htm" TargetMode="External"/><Relationship Id="rId27" Type="http://schemas.openxmlformats.org/officeDocument/2006/relationships/hyperlink" Target="http://www.sec.gov/Archives/edgar/data/1832332/000095017022004799/avah-ex4_1.htm" TargetMode="External"/><Relationship Id="rId28" Type="http://schemas.openxmlformats.org/officeDocument/2006/relationships/hyperlink" Target="http://www.sec.gov/Archives/edgar/data/1832332/000095017022004799/avah-ex4_1.htm" TargetMode="External"/><Relationship Id="rId29" Type="http://schemas.openxmlformats.org/officeDocument/2006/relationships/image" Target="media/image3.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80</Pages>
  <Words>32204</Words>
  <Characters>171532</Characters>
  <CharactersWithSpaces>204423</CharactersWithSpaces>
  <Paragraphs>2167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424B4</dc:title>
</cp:coreProperties>
</file>