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315595</wp:posOffset>
            </wp:positionV>
            <wp:extent cx="1134110" cy="615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4110" cy="615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Aveanna Healthcare Holdings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185" w:type="dxa"/>
        <w:tblCellMar>
          <w:top w:w="0" w:type="dxa"/>
          <w:left w:w="0" w:type="dxa"/>
          <w:bottom w:w="0" w:type="dxa"/>
          <w:right w:w="0" w:type="dxa"/>
        </w:tblCellMar>
      </w:tblPr>
      <w:tr>
        <w:trPr>
          <w:trHeight w:val="195"/>
        </w:trPr>
        <w:tc>
          <w:tcPr>
            <w:tcW w:w="3000" w:type="dxa"/>
            <w:vAlign w:val="bottom"/>
          </w:tcPr>
          <w:p>
            <w:pPr>
              <w:jc w:val="center"/>
              <w:ind w:right="69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2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001-40362</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81-4717209</w:t>
            </w:r>
          </w:p>
        </w:tc>
      </w:tr>
      <w:tr>
        <w:trPr>
          <w:trHeight w:val="130"/>
        </w:trPr>
        <w:tc>
          <w:tcPr>
            <w:tcW w:w="3000" w:type="dxa"/>
            <w:vAlign w:val="bottom"/>
          </w:tcPr>
          <w:p>
            <w:pPr>
              <w:jc w:val="center"/>
              <w:ind w:right="69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20" w:type="dxa"/>
            <w:vAlign w:val="bottom"/>
          </w:tcPr>
          <w:p>
            <w:pPr>
              <w:jc w:val="center"/>
              <w:ind w:right="25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3000" w:type="dxa"/>
            <w:vAlign w:val="bottom"/>
          </w:tcPr>
          <w:p>
            <w:pPr>
              <w:jc w:val="center"/>
              <w:ind w:right="69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2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3000" w:type="dxa"/>
            <w:vAlign w:val="bottom"/>
          </w:tcPr>
          <w:p>
            <w:pPr>
              <w:jc w:val="center"/>
              <w:ind w:right="671"/>
              <w:spacing w:after="0"/>
              <w:rPr>
                <w:sz w:val="20"/>
                <w:szCs w:val="20"/>
                <w:color w:val="auto"/>
              </w:rPr>
            </w:pPr>
            <w:r>
              <w:rPr>
                <w:rFonts w:ascii="Times New Roman" w:cs="Times New Roman" w:eastAsia="Times New Roman" w:hAnsi="Times New Roman"/>
                <w:sz w:val="16"/>
                <w:szCs w:val="16"/>
                <w:b w:val="1"/>
                <w:bCs w:val="1"/>
                <w:color w:val="auto"/>
                <w:w w:val="98"/>
              </w:rPr>
              <w:t>400 Interstate North Parkway SE</w:t>
            </w:r>
          </w:p>
        </w:tc>
        <w:tc>
          <w:tcPr>
            <w:tcW w:w="3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3000" w:type="dxa"/>
            <w:vAlign w:val="bottom"/>
          </w:tcPr>
          <w:p>
            <w:pPr>
              <w:jc w:val="center"/>
              <w:ind w:right="671"/>
              <w:spacing w:after="0"/>
              <w:rPr>
                <w:sz w:val="20"/>
                <w:szCs w:val="20"/>
                <w:color w:val="auto"/>
              </w:rPr>
            </w:pPr>
            <w:r>
              <w:rPr>
                <w:rFonts w:ascii="Times New Roman" w:cs="Times New Roman" w:eastAsia="Times New Roman" w:hAnsi="Times New Roman"/>
                <w:sz w:val="16"/>
                <w:szCs w:val="16"/>
                <w:b w:val="1"/>
                <w:bCs w:val="1"/>
                <w:color w:val="auto"/>
                <w:w w:val="99"/>
              </w:rPr>
              <w:t>Atlanta, Georgia</w:t>
            </w:r>
          </w:p>
        </w:tc>
        <w:tc>
          <w:tcPr>
            <w:tcW w:w="322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30339</w:t>
            </w:r>
          </w:p>
        </w:tc>
      </w:tr>
      <w:tr>
        <w:trPr>
          <w:trHeight w:val="155"/>
        </w:trPr>
        <w:tc>
          <w:tcPr>
            <w:tcW w:w="3000" w:type="dxa"/>
            <w:vAlign w:val="bottom"/>
          </w:tcPr>
          <w:p>
            <w:pPr>
              <w:jc w:val="center"/>
              <w:ind w:right="67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2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770 441-1580</w:t>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580" w:type="dxa"/>
            <w:vAlign w:val="bottom"/>
          </w:tcPr>
          <w:p>
            <w:pPr>
              <w:spacing w:after="0"/>
              <w:rPr>
                <w:sz w:val="18"/>
                <w:szCs w:val="18"/>
                <w:color w:val="auto"/>
              </w:rPr>
            </w:pPr>
          </w:p>
        </w:tc>
        <w:tc>
          <w:tcPr>
            <w:tcW w:w="76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580" w:type="dxa"/>
            <w:vAlign w:val="bottom"/>
            <w:tcBorders>
              <w:bottom w:val="single" w:sz="8" w:color="auto"/>
            </w:tcBorders>
          </w:tcPr>
          <w:p>
            <w:pPr>
              <w:jc w:val="center"/>
              <w:ind w:left="60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5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w w:val="98"/>
              </w:rPr>
              <w:t>Common Stock, par value $0.01 per share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AVAH</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On May 15, 2026, Aveanna Healthcare Holdings Inc. (the "Company", "we", "us", or "our") made available a financial presentation to investors. A copy of the presentation is attached hereto as Exhibit 99.1 and incorporated by reference in this Item 7.01. A copy of the presentation is also available on our website at ir.aveanna.com.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our Website and Social Media to Distribute Material Company Information</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use our website as a channel of distribution for important Company information. We routinely post on our website important information, including press releases, investor presentations and financial information, which may be accessed by clicking on the “Investors” section of www.aveanna.com. We also use our website to expedite public access to time-critical information regarding our Company in advance of or in lieu of distributing a press release or a filing with the SEC disclosing the same information. Therefore, investors should look to the “Investors” section of our website for important and time-critical information. Visitors to our website can also register to receive automatic e-mail and other notifications alerting them when certain new information is made available on our website. Information contained on, or accessible through, our website is not a part of and is not incorporated by reference in this Current Report on Form 8-K.</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information contained in this Item 7.01, including in Exhibit 99.1 attached hereto, is “furnished” and not “filed” for purposes of Section 18 of the Exchange Act or otherwise subject to the liabilities of that section. Such information shall not be incorporated by reference in another filing under the Exchange Act or the Securities Act, except to the extent such other filing specifically incorporates such information by reference.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40" w:type="dxa"/>
            <w:vAlign w:val="bottom"/>
            <w:vMerge w:val="restart"/>
          </w:tcPr>
          <w:p>
            <w:pPr>
              <w:ind w:left="21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20" w:type="dxa"/>
            <w:vAlign w:val="bottom"/>
          </w:tcPr>
          <w:p>
            <w:pPr>
              <w:spacing w:after="0"/>
              <w:rPr>
                <w:sz w:val="13"/>
                <w:szCs w:val="13"/>
                <w:color w:val="auto"/>
              </w:rPr>
            </w:pPr>
          </w:p>
        </w:tc>
        <w:tc>
          <w:tcPr>
            <w:tcW w:w="2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220" w:type="dxa"/>
            <w:vAlign w:val="bottom"/>
          </w:tcPr>
          <w:p>
            <w:pPr>
              <w:spacing w:after="0"/>
              <w:rPr>
                <w:sz w:val="12"/>
                <w:szCs w:val="12"/>
                <w:color w:val="auto"/>
              </w:rPr>
            </w:pPr>
          </w:p>
        </w:tc>
        <w:tc>
          <w:tcPr>
            <w:tcW w:w="2720" w:type="dxa"/>
            <w:vAlign w:val="bottom"/>
            <w:tcBorders>
              <w:bottom w:val="single" w:sz="8" w:color="0000FF"/>
            </w:tcBorders>
          </w:tcPr>
          <w:p>
            <w:pPr>
              <w:spacing w:after="0" w:line="145" w:lineRule="exact"/>
              <w:rPr>
                <w:sz w:val="20"/>
                <w:szCs w:val="20"/>
                <w:color w:val="auto"/>
              </w:rPr>
            </w:pPr>
            <w:r>
              <w:rPr>
                <w:rFonts w:ascii="Times New Roman" w:cs="Times New Roman" w:eastAsia="Times New Roman" w:hAnsi="Times New Roman"/>
                <w:sz w:val="16"/>
                <w:szCs w:val="16"/>
                <w:color w:val="0000FF"/>
                <w:w w:val="98"/>
              </w:rPr>
              <w:t>Aveanna Investor Presentation - May 2026</w:t>
            </w:r>
          </w:p>
        </w:tc>
        <w:tc>
          <w:tcPr>
            <w:tcW w:w="20" w:type="dxa"/>
            <w:vAlign w:val="bottom"/>
            <w:tcBorders>
              <w:bottom w:val="single" w:sz="8" w:color="0000EE"/>
            </w:tcBorders>
          </w:tcPr>
          <w:p>
            <w:pPr>
              <w:spacing w:after="0"/>
              <w:rPr>
                <w:sz w:val="12"/>
                <w:szCs w:val="12"/>
                <w:color w:val="auto"/>
              </w:rPr>
            </w:pPr>
          </w:p>
        </w:tc>
        <w:tc>
          <w:tcPr>
            <w:tcW w:w="7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tcPr>
          <w:p>
            <w:pPr>
              <w:spacing w:after="0"/>
              <w:rPr>
                <w:sz w:val="17"/>
                <w:szCs w:val="17"/>
                <w:color w:val="auto"/>
              </w:rPr>
            </w:pPr>
          </w:p>
        </w:tc>
        <w:tc>
          <w:tcPr>
            <w:tcW w:w="10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854"/>
        </w:trPr>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AVEANNA HEALTHCARE HOLDINGS INC.</w:t>
      </w:r>
    </w:p>
    <w:p>
      <w:pPr>
        <w:spacing w:after="0" w:line="325" w:lineRule="exact"/>
        <w:rPr>
          <w:sz w:val="20"/>
          <w:szCs w:val="20"/>
          <w:color w:val="auto"/>
        </w:rPr>
      </w:pPr>
    </w:p>
    <w:p>
      <w:pPr>
        <w:spacing w:after="0"/>
        <w:tabs>
          <w:tab w:leader="none" w:pos="660" w:val="left"/>
          <w:tab w:leader="none" w:pos="5620" w:val="left"/>
          <w:tab w:leader="none" w:pos="790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May 15,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Matthew Buckhalter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7"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Matthew Buckhalter</w:t>
      </w:r>
    </w:p>
    <w:p>
      <w:pPr>
        <w:spacing w:after="0" w:line="24"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5"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60"/>
          </w:cols>
          <w:pgMar w:left="320" w:top="689" w:right="8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61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61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2026-05-15T07:34:18Z</dcterms:created>
  <dcterms:modified xsi:type="dcterms:W3CDTF">2026-05-15T07:34:18Z</dcterms:modified>
</cp:coreProperties>
</file>